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footer"
    Target="footer1.xml"/>
  <Relationship Id="r7"
    Type="http://schemas.openxmlformats.org/officeDocument/2006/relationships/hyperlink"
    TargetMode="External"
    Target="https://www.westlaw.com/Search/Results.html?query=advanced%3a+WCAID(IC26FA5006F6A11E3AF67B738264932D6)&amp;saveJuris=False&amp;contentType=BUSINESS-INVESTIGATOR&amp;startIndex=1&amp;contextData=(sc.Default)&amp;categoryPageUrl=Home%2fCompanyInvestigator&amp;originationContext=document&amp;vr=3.0&amp;rs=cblt1.0&amp;transitionType=DocumentItem"/>
  <Relationship Id="r8"
    Type="http://schemas.openxmlformats.org/officeDocument/2006/relationships/hyperlink"
    TargetMode="External"
    Target="https://www.westlaw.com/Link/Document/FullText?findType=h&amp;pubNum=176284&amp;cite=0430111501&amp;originatingDoc=Ic4580120f9ea11efae3cdd08712d16e0&amp;refType=RQ&amp;originationContext=document&amp;vr=3.0&amp;rs=cblt1.0&amp;transitionType=DocumentItem&amp;contextData=(sc.History*oc.Default)"/>
  <Relationship Id="r9"
    Type="http://schemas.openxmlformats.org/officeDocument/2006/relationships/hyperlink"
    TargetMode="External"
    Target="https://www.westlaw.com/Browse/Home/KeyNumber/368H/View.html?docGuid=Ic4580120f9ea11efae3cdd08712d16e0&amp;originationContext=document&amp;vr=3.0&amp;rs=cblt1.0&amp;transitionType=DocumentItem&amp;contextData=(sc.History*oc.Default)"/>
  <Relationship Id="r10"
    Type="http://schemas.openxmlformats.org/officeDocument/2006/relationships/hyperlink"
    TargetMode="External"
    Target="https://www.westlaw.com/Browse/Home/KeyNumber/368Hk47/View.html?docGuid=Ic4580120f9ea11efae3cdd08712d16e0&amp;originationContext=document&amp;vr=3.0&amp;rs=cblt1.0&amp;transitionType=DocumentItem&amp;contextData=(sc.History*oc.Default)"/>
  <Relationship Id="r11"
    Type="http://schemas.openxmlformats.org/officeDocument/2006/relationships/hyperlink"
    TargetMode="External"
    Target="https://www.westlaw.com/Link/Document/FullText?findType=L&amp;pubNum=1000600&amp;cite=USFRCPR56&amp;originatingDoc=Ic4580120f9ea11efae3cdd08712d16e0&amp;refType=LQ&amp;originationContext=document&amp;vr=3.0&amp;rs=cblt1.0&amp;transitionType=DocumentItem&amp;contextData=(sc.History*oc.Default)"/>
  <Relationship Id="r12"
    Type="http://schemas.openxmlformats.org/officeDocument/2006/relationships/image"
    Target="images/2.png"/>
  <Relationship Id="r13"
    Type="http://schemas.openxmlformats.org/officeDocument/2006/relationships/hyperlink"
    TargetMode="External"
    Target="https://www.westlaw.com/Browse/Home/KeyNumber/368H/View.html?docGuid=Ic4580120f9ea11efae3cdd08712d16e0&amp;originationContext=document&amp;vr=3.0&amp;rs=cblt1.0&amp;transitionType=DocumentItem&amp;contextData=(sc.History*oc.Default)"/>
  <Relationship Id="r14"
    Type="http://schemas.openxmlformats.org/officeDocument/2006/relationships/hyperlink"
    TargetMode="External"
    Target="https://www.westlaw.com/Browse/Home/KeyNumber/368Hk46/View.html?docGuid=Ic4580120f9ea11efae3cdd08712d16e0&amp;originationContext=document&amp;vr=3.0&amp;rs=cblt1.0&amp;transitionType=DocumentItem&amp;contextData=(sc.History*oc.Default)"/>
  <Relationship Id="r15"
    Type="http://schemas.openxmlformats.org/officeDocument/2006/relationships/hyperlink"
    TargetMode="External"
    Target="https://www.westlaw.com/Link/Document/FullText?findType=L&amp;pubNum=1000600&amp;cite=USFRCPR56&amp;originatingDoc=Ic4580120f9ea11efae3cdd08712d16e0&amp;refType=LQ&amp;originationContext=document&amp;vr=3.0&amp;rs=cblt1.0&amp;transitionType=DocumentItem&amp;contextData=(sc.History*oc.Default)"/>
  <Relationship Id="r16"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17"
    Type="http://schemas.openxmlformats.org/officeDocument/2006/relationships/hyperlink"
    TargetMode="External"
    Target="https://www.westlaw.com/Browse/Home/KeyNumber/217k1806/View.html?docGuid=Ic4580120f9ea11efae3cdd08712d16e0&amp;originationContext=document&amp;vr=3.0&amp;rs=cblt1.0&amp;transitionType=DocumentItem&amp;contextData=(sc.History*oc.Default)"/>
  <Relationship Id="r18"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19"
    Type="http://schemas.openxmlformats.org/officeDocument/2006/relationships/hyperlink"
    TargetMode="External"
    Target="https://www.westlaw.com/Browse/Home/KeyNumber/217k1863/View.html?docGuid=Ic4580120f9ea11efae3cdd08712d16e0&amp;originationContext=document&amp;vr=3.0&amp;rs=cblt1.0&amp;transitionType=DocumentItem&amp;contextData=(sc.History*oc.Default)"/>
  <Relationship Id="r20"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21"
    Type="http://schemas.openxmlformats.org/officeDocument/2006/relationships/hyperlink"
    TargetMode="External"
    Target="https://www.westlaw.com/Browse/Home/KeyNumber/217k2913/View.html?docGuid=Ic4580120f9ea11efae3cdd08712d16e0&amp;originationContext=document&amp;vr=3.0&amp;rs=cblt1.0&amp;transitionType=DocumentItem&amp;contextData=(sc.History*oc.Default)"/>
  <Relationship Id="r22"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23"
    Type="http://schemas.openxmlformats.org/officeDocument/2006/relationships/hyperlink"
    TargetMode="External"
    Target="https://www.westlaw.com/Browse/Home/KeyNumber/217k2914/View.html?docGuid=Ic4580120f9ea11efae3cdd08712d16e0&amp;originationContext=document&amp;vr=3.0&amp;rs=cblt1.0&amp;transitionType=DocumentItem&amp;contextData=(sc.History*oc.Default)"/>
  <Relationship Id="r24"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25"
    Type="http://schemas.openxmlformats.org/officeDocument/2006/relationships/hyperlink"
    TargetMode="External"
    Target="https://www.westlaw.com/Browse/Home/KeyNumber/217k1835/View.html?docGuid=Ic4580120f9ea11efae3cdd08712d16e0&amp;originationContext=document&amp;vr=3.0&amp;rs=cblt1.0&amp;transitionType=DocumentItem&amp;contextData=(sc.History*oc.Default)"/>
  <Relationship Id="r26"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27"
    Type="http://schemas.openxmlformats.org/officeDocument/2006/relationships/hyperlink"
    TargetMode="External"
    Target="https://www.westlaw.com/Browse/Home/KeyNumber/217k1835(2)/View.html?docGuid=Ic4580120f9ea11efae3cdd08712d16e0&amp;originationContext=document&amp;vr=3.0&amp;rs=cblt1.0&amp;transitionType=DocumentItem&amp;contextData=(sc.History*oc.Default)"/>
  <Relationship Id="r28"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29"
    Type="http://schemas.openxmlformats.org/officeDocument/2006/relationships/hyperlink"
    TargetMode="External"
    Target="https://www.westlaw.com/Browse/Home/KeyNumber/217k2922/View.html?docGuid=Ic4580120f9ea11efae3cdd08712d16e0&amp;originationContext=document&amp;vr=3.0&amp;rs=cblt1.0&amp;transitionType=DocumentItem&amp;contextData=(sc.History*oc.Default)"/>
  <Relationship Id="r30"
    Type="http://schemas.openxmlformats.org/officeDocument/2006/relationships/hyperlink"
    TargetMode="External"
    Target="https://www.westlaw.com/Search/MoreLikeThisResults.html?caseGuid=Ic4580120f9ea11efae3cdd08712d16e0&amp;title=National+Foam%2c+Inc.+v.+Zurich+American+Insurance+Company&amp;citation=---+F.Supp.3d+----&amp;originationContext=DocumentHeadNote&amp;ppcid=9aa6ca573bd34c0fa15c123d7a3f238f&amp;legalIssue=Contract%20Interpretation%20%3e%20Duty%20to%20Defend&amp;returnTo=%2fDocument%2fIc4580120f9ea11efae3cdd08712d16e0%2fView%2fFullText.html%3frank%3d0%26sessionScopeId%3d2bba15f61e8c22d84da0f56b0d21252fe3a6f52e1c1944f03aabb2be47c60dfe%26originationContext%3dSearch%2bResult%26transitionType%3dSearchItem%26ppcid%3d9aa6ca573bd34c0fa15c123d7a3f238f%26contextData%3d(sc.History*oc.Default)%23Athens_headnoteCell_headnoteRef&amp;VR=3.0&amp;RS=cblt1.0"/>
  <Relationship Id="r31"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32"
    Type="http://schemas.openxmlformats.org/officeDocument/2006/relationships/hyperlink"
    TargetMode="External"
    Target="https://www.westlaw.com/Browse/Home/KeyNumber/217k2117/View.html?docGuid=Ic4580120f9ea11efae3cdd08712d16e0&amp;originationContext=document&amp;vr=3.0&amp;rs=cblt1.0&amp;transitionType=DocumentItem&amp;contextData=(sc.History*oc.Default)"/>
  <Relationship Id="r33"
    Type="http://schemas.openxmlformats.org/officeDocument/2006/relationships/hyperlink"
    TargetMode="External"
    Target="https://www.westlaw.com/Browse/Home/KeyNumber/170A/View.html?docGuid=Ic4580120f9ea11efae3cdd08712d16e0&amp;originationContext=document&amp;vr=3.0&amp;rs=cblt1.0&amp;transitionType=DocumentItem&amp;contextData=(sc.History*oc.Default)"/>
  <Relationship Id="r34"
    Type="http://schemas.openxmlformats.org/officeDocument/2006/relationships/hyperlink"
    TargetMode="External"
    Target="https://www.westlaw.com/Browse/Home/KeyNumber/170Ak8/View.html?docGuid=Ic4580120f9ea11efae3cdd08712d16e0&amp;originationContext=document&amp;vr=3.0&amp;rs=cblt1.0&amp;transitionType=DocumentItem&amp;contextData=(sc.History*oc.Default)"/>
  <Relationship Id="r35"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36"
    Type="http://schemas.openxmlformats.org/officeDocument/2006/relationships/hyperlink"
    TargetMode="External"
    Target="https://www.westlaw.com/Browse/Home/KeyNumber/217k2278(17)/View.html?docGuid=Ic4580120f9ea11efae3cdd08712d16e0&amp;originationContext=document&amp;vr=3.0&amp;rs=cblt1.0&amp;transitionType=DocumentItem&amp;contextData=(sc.History*oc.Default)"/>
  <Relationship Id="r37"
    Type="http://schemas.openxmlformats.org/officeDocument/2006/relationships/hyperlink"
    TargetMode="External"
    Target="https://www.westlaw.com/Search/MoreLikeThisResults.html?caseGuid=Ic4580120f9ea11efae3cdd08712d16e0&amp;title=National+Foam%2c+Inc.+v.+Zurich+American+Insurance+Company&amp;citation=---+F.Supp.3d+----&amp;originationContext=DocumentHeadNote&amp;ppcid=9aa6ca573bd34c0fa15c123d7a3f238f&amp;legalIssue=Contract%20Interpretation%20%3e%20Insurance%20Policy%20Exclusion&amp;returnTo=%2fDocument%2fIc4580120f9ea11efae3cdd08712d16e0%2fView%2fFullText.html%3frank%3d0%26sessionScopeId%3d2bba15f61e8c22d84da0f56b0d21252fe3a6f52e1c1944f03aabb2be47c60dfe%26originationContext%3dSearch%2bResult%26transitionType%3dSearchItem%26ppcid%3d9aa6ca573bd34c0fa15c123d7a3f238f%26contextData%3d(sc.History*oc.Default)%23Athens_headnoteCell_headnoteRef&amp;VR=3.0&amp;RS=cblt1.0"/>
  <Relationship Id="r38"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39"
    Type="http://schemas.openxmlformats.org/officeDocument/2006/relationships/hyperlink"
    TargetMode="External"
    Target="https://www.westlaw.com/Browse/Home/KeyNumber/217k1835(2)/View.html?docGuid=Ic4580120f9ea11efae3cdd08712d16e0&amp;originationContext=document&amp;vr=3.0&amp;rs=cblt1.0&amp;transitionType=DocumentItem&amp;contextData=(sc.History*oc.Default)"/>
  <Relationship Id="r40"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41"
    Type="http://schemas.openxmlformats.org/officeDocument/2006/relationships/hyperlink"
    TargetMode="External"
    Target="https://www.westlaw.com/Browse/Home/KeyNumber/217k2098/View.html?docGuid=Ic4580120f9ea11efae3cdd08712d16e0&amp;originationContext=document&amp;vr=3.0&amp;rs=cblt1.0&amp;transitionType=DocumentItem&amp;contextData=(sc.History*oc.Default)"/>
  <Relationship Id="r42"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43"
    Type="http://schemas.openxmlformats.org/officeDocument/2006/relationships/hyperlink"
    TargetMode="External"
    Target="https://www.westlaw.com/Browse/Home/KeyNumber/217k2117/View.html?docGuid=Ic4580120f9ea11efae3cdd08712d16e0&amp;originationContext=document&amp;vr=3.0&amp;rs=cblt1.0&amp;transitionType=DocumentItem&amp;contextData=(sc.History*oc.Default)"/>
  <Relationship Id="r44"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45"
    Type="http://schemas.openxmlformats.org/officeDocument/2006/relationships/hyperlink"
    TargetMode="External"
    Target="https://www.westlaw.com/Browse/Home/KeyNumber/217k2278(17)/View.html?docGuid=Ic4580120f9ea11efae3cdd08712d16e0&amp;originationContext=document&amp;vr=3.0&amp;rs=cblt1.0&amp;transitionType=DocumentItem&amp;contextData=(sc.History*oc.Default)"/>
  <Relationship Id="r46"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47"
    Type="http://schemas.openxmlformats.org/officeDocument/2006/relationships/hyperlink"
    TargetMode="External"
    Target="https://www.westlaw.com/Browse/Home/KeyNumber/217k2275/View.html?docGuid=Ic4580120f9ea11efae3cdd08712d16e0&amp;originationContext=document&amp;vr=3.0&amp;rs=cblt1.0&amp;transitionType=DocumentItem&amp;contextData=(sc.History*oc.Default)"/>
  <Relationship Id="r48"
    Type="http://schemas.openxmlformats.org/officeDocument/2006/relationships/hyperlink"
    TargetMode="External"
    Target="https://www.westlaw.com/Search/MoreLikeThisResults.html?caseGuid=Ic4580120f9ea11efae3cdd08712d16e0&amp;title=National+Foam%2c+Inc.+v.+Zurich+American+Insurance+Company&amp;citation=---+F.Supp.3d+----&amp;originationContext=DocumentHeadNote&amp;ppcid=9aa6ca573bd34c0fa15c123d7a3f238f&amp;legalIssue=Contract%20Interpretation%20%3e%20Insurance%20Policy%20Coverage&amp;returnTo=%2fDocument%2fIc4580120f9ea11efae3cdd08712d16e0%2fView%2fFullText.html%3frank%3d0%26sessionScopeId%3d2bba15f61e8c22d84da0f56b0d21252fe3a6f52e1c1944f03aabb2be47c60dfe%26originationContext%3dSearch%2bResult%26transitionType%3dSearchItem%26ppcid%3d9aa6ca573bd34c0fa15c123d7a3f238f%26contextData%3d(sc.History*oc.Default)%23Athens_headnoteCell_headnoteRef&amp;VR=3.0&amp;RS=cblt1.0"/>
  <Relationship Id="r49"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50"
    Type="http://schemas.openxmlformats.org/officeDocument/2006/relationships/hyperlink"
    TargetMode="External"
    Target="https://www.westlaw.com/Browse/Home/KeyNumber/217k2913/View.html?docGuid=Ic4580120f9ea11efae3cdd08712d16e0&amp;originationContext=document&amp;vr=3.0&amp;rs=cblt1.0&amp;transitionType=DocumentItem&amp;contextData=(sc.History*oc.Default)"/>
  <Relationship Id="r51"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52"
    Type="http://schemas.openxmlformats.org/officeDocument/2006/relationships/hyperlink"
    TargetMode="External"
    Target="https://www.westlaw.com/Browse/Home/KeyNumber/217k2922/View.html?docGuid=Ic4580120f9ea11efae3cdd08712d16e0&amp;originationContext=document&amp;vr=3.0&amp;rs=cblt1.0&amp;transitionType=DocumentItem&amp;contextData=(sc.History*oc.Default)"/>
  <Relationship Id="r53"
    Type="http://schemas.openxmlformats.org/officeDocument/2006/relationships/hyperlink"
    TargetMode="External"
    Target="https://www.westlaw.com/Browse/Home/KeyNumber/368H/View.html?docGuid=Ic4580120f9ea11efae3cdd08712d16e0&amp;originationContext=document&amp;vr=3.0&amp;rs=cblt1.0&amp;transitionType=DocumentItem&amp;contextData=(sc.History*oc.Default)"/>
  <Relationship Id="r54"
    Type="http://schemas.openxmlformats.org/officeDocument/2006/relationships/hyperlink"
    TargetMode="External"
    Target="https://www.westlaw.com/Browse/Home/KeyNumber/368Hk345/View.html?docGuid=Ic4580120f9ea11efae3cdd08712d16e0&amp;originationContext=document&amp;vr=3.0&amp;rs=cblt1.0&amp;transitionType=DocumentItem&amp;contextData=(sc.History*oc.Default)"/>
  <Relationship Id="r55"
    Type="http://schemas.openxmlformats.org/officeDocument/2006/relationships/hyperlink"
    TargetMode="External"
    Target="https://www.westlaw.com/Link/Document/FullText?findType=L&amp;pubNum=1000600&amp;cite=USFRCPR56&amp;originatingDoc=Ic4580120f9ea11efae3cdd08712d16e0&amp;refType=LQ&amp;originationContext=document&amp;vr=3.0&amp;rs=cblt1.0&amp;transitionType=DocumentItem&amp;contextData=(sc.History*oc.Default)"/>
  <Relationship Id="r56"
    Type="http://schemas.openxmlformats.org/officeDocument/2006/relationships/hyperlink"
    TargetMode="External"
    Target="https://www.westlaw.com/Search/MoreLikeThisResults.html?caseGuid=Ic4580120f9ea11efae3cdd08712d16e0&amp;title=National+Foam%2c+Inc.+v.+Zurich+American+Insurance+Company&amp;citation=---+F.Supp.3d+----&amp;originationContext=DocumentHeadNote&amp;ppcid=9aa6ca573bd34c0fa15c123d7a3f238f&amp;legalIssue=Summary%20Judgment%20Evidence%20%3e%20Availability%20of%20Additional%20Discovery&amp;returnTo=%2fDocument%2fIc4580120f9ea11efae3cdd08712d16e0%2fView%2fFullText.html%3frank%3d0%26sessionScopeId%3d2bba15f61e8c22d84da0f56b0d21252fe3a6f52e1c1944f03aabb2be47c60dfe%26originationContext%3dSearch%2bResult%26transitionType%3dSearchItem%26ppcid%3d9aa6ca573bd34c0fa15c123d7a3f238f%26contextData%3d(sc.History*oc.Default)%23Athens_headnoteCell_headnoteRef&amp;VR=3.0&amp;RS=cblt1.0"/>
  <Relationship Id="r57"
    Type="http://schemas.openxmlformats.org/officeDocument/2006/relationships/hyperlink"
    TargetMode="External"
    Target="https://www.westlaw.com/Browse/Home/KeyNumber/368H/View.html?docGuid=Ic4580120f9ea11efae3cdd08712d16e0&amp;originationContext=document&amp;vr=3.0&amp;rs=cblt1.0&amp;transitionType=DocumentItem&amp;contextData=(sc.History*oc.Default)"/>
  <Relationship Id="r58"
    Type="http://schemas.openxmlformats.org/officeDocument/2006/relationships/hyperlink"
    TargetMode="External"
    Target="https://www.westlaw.com/Browse/Home/KeyNumber/368Hk345/View.html?docGuid=Ic4580120f9ea11efae3cdd08712d16e0&amp;originationContext=document&amp;vr=3.0&amp;rs=cblt1.0&amp;transitionType=DocumentItem&amp;contextData=(sc.History*oc.Default)"/>
  <Relationship Id="r59"
    Type="http://schemas.openxmlformats.org/officeDocument/2006/relationships/hyperlink"
    TargetMode="External"
    Target="https://www.westlaw.com/Link/Document/FullText?findType=L&amp;pubNum=1000600&amp;cite=USFRCPR56&amp;originatingDoc=Ic4580120f9ea11efae3cdd08712d16e0&amp;refType=LQ&amp;originationContext=document&amp;vr=3.0&amp;rs=cblt1.0&amp;transitionType=DocumentItem&amp;contextData=(sc.History*oc.Default)"/>
  <Relationship Id="r60"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61"
    Type="http://schemas.openxmlformats.org/officeDocument/2006/relationships/hyperlink"
    TargetMode="External"
    Target="https://www.westlaw.com/Browse/Home/KeyNumber/217k2278(17)/View.html?docGuid=Ic4580120f9ea11efae3cdd08712d16e0&amp;originationContext=document&amp;vr=3.0&amp;rs=cblt1.0&amp;transitionType=DocumentItem&amp;contextData=(sc.History*oc.Default)"/>
  <Relationship Id="r62"
    Type="http://schemas.openxmlformats.org/officeDocument/2006/relationships/hyperlink"
    TargetMode="External"
    Target="https://www.westlaw.com/Search/MoreLikeThisResults.html?caseGuid=Ic4580120f9ea11efae3cdd08712d16e0&amp;title=National+Foam%2c+Inc.+v.+Zurich+American+Insurance+Company&amp;citation=---+F.Supp.3d+----&amp;originationContext=DocumentHeadNote&amp;ppcid=9aa6ca573bd34c0fa15c123d7a3f238f&amp;legalIssue=Contract%20Interpretation%20%3e%20Insurance%20Policy%20Exclusion&amp;returnTo=%2fDocument%2fIc4580120f9ea11efae3cdd08712d16e0%2fView%2fFullText.html%3frank%3d0%26sessionScopeId%3d2bba15f61e8c22d84da0f56b0d21252fe3a6f52e1c1944f03aabb2be47c60dfe%26originationContext%3dSearch%2bResult%26transitionType%3dSearchItem%26ppcid%3d9aa6ca573bd34c0fa15c123d7a3f238f%26contextData%3d(sc.History*oc.Default)%23Athens_headnoteCell_headnoteRef&amp;VR=3.0&amp;RS=cblt1.0"/>
  <Relationship Id="r63"
    Type="http://schemas.openxmlformats.org/officeDocument/2006/relationships/hyperlink"
    TargetMode="External"
    Target="https://www.westlaw.com/Browse/Home/KeyNumber/217/View.html?docGuid=Ic4580120f9ea11efae3cdd08712d16e0&amp;originationContext=document&amp;vr=3.0&amp;rs=cblt1.0&amp;transitionType=DocumentItem&amp;contextData=(sc.History*oc.Default)"/>
  <Relationship Id="r64"
    Type="http://schemas.openxmlformats.org/officeDocument/2006/relationships/hyperlink"
    TargetMode="External"
    Target="https://www.westlaw.com/Browse/Home/KeyNumber/217k2278(17)/View.html?docGuid=Ic4580120f9ea11efae3cdd08712d16e0&amp;originationContext=document&amp;vr=3.0&amp;rs=cblt1.0&amp;transitionType=DocumentItem&amp;contextData=(sc.History*oc.Default)"/>
  <Relationship Id="r65"
    Type="http://schemas.openxmlformats.org/officeDocument/2006/relationships/hyperlink"
    TargetMode="External"
    Target="https://www.westlaw.com/Search/MoreLikeThisResults.html?caseGuid=Ic4580120f9ea11efae3cdd08712d16e0&amp;title=National+Foam%2c+Inc.+v.+Zurich+American+Insurance+Company&amp;citation=---+F.Supp.3d+----&amp;originationContext=DocumentHeadNote&amp;ppcid=9aa6ca573bd34c0fa15c123d7a3f238f&amp;legalIssue=Contract%20Interpretation%20%3e%20Ambiguity&amp;returnTo=%2fDocument%2fIc4580120f9ea11efae3cdd08712d16e0%2fView%2fFullText.html%3frank%3d0%26sessionScopeId%3d2bba15f61e8c22d84da0f56b0d21252fe3a6f52e1c1944f03aabb2be47c60dfe%26originationContext%3dSearch%2bResult%26transitionType%3dSearchItem%26ppcid%3d9aa6ca573bd34c0fa15c123d7a3f238f%26contextData%3d(sc.History*oc.Default)%23Athens_headnoteCell_headnoteRef&amp;VR=3.0&amp;RS=cblt1.0"/>
  <Relationship Id="r66"
    Type="http://schemas.openxmlformats.org/officeDocument/2006/relationships/hyperlink"
    TargetMode="External"
    Target="https://www.westlaw.com/Link/Document/FullText?findType=h&amp;pubNum=176284&amp;cite=0351363201&amp;originatingDoc=Ic4580120f9ea11efae3cdd08712d16e0&amp;refType=RQ&amp;originationContext=document&amp;vr=3.0&amp;rs=cblt1.0&amp;transitionType=DocumentItem&amp;contextData=(sc.History*oc.Default)"/>
  <Relationship Id="r67"
    Type="http://schemas.openxmlformats.org/officeDocument/2006/relationships/hyperlink"
    TargetMode="External"
    Target="https://www.westlaw.com/Link/Document/FullText?findType=h&amp;pubNum=176284&amp;cite=0352775101&amp;originatingDoc=Ic4580120f9ea11efae3cdd08712d16e0&amp;refType=RQ&amp;originationContext=document&amp;vr=3.0&amp;rs=cblt1.0&amp;transitionType=DocumentItem&amp;contextData=(sc.History*oc.Default)"/>
  <Relationship Id="r68"
    Type="http://schemas.openxmlformats.org/officeDocument/2006/relationships/hyperlink"
    TargetMode="External"
    Target="https://www.westlaw.com/Link/Document/FullText?findType=h&amp;pubNum=176284&amp;cite=0400846601&amp;originatingDoc=Ic4580120f9ea11efae3cdd08712d16e0&amp;refType=RQ&amp;originationContext=document&amp;vr=3.0&amp;rs=cblt1.0&amp;transitionType=DocumentItem&amp;contextData=(sc.History*oc.Default)"/>
  <Relationship Id="r69"
    Type="http://schemas.openxmlformats.org/officeDocument/2006/relationships/hyperlink"
    TargetMode="External"
    Target="https://www.westlaw.com/Link/Document/FullText?findType=h&amp;pubNum=176284&amp;cite=0136650601&amp;originatingDoc=Ic4580120f9ea11efae3cdd08712d16e0&amp;refType=RQ&amp;originationContext=document&amp;vr=3.0&amp;rs=cblt1.0&amp;transitionType=DocumentItem&amp;contextData=(sc.History*oc.Default)"/>
  <Relationship Id="r70"
    Type="http://schemas.openxmlformats.org/officeDocument/2006/relationships/hyperlink"
    TargetMode="External"
    Target="https://www.westlaw.com/Link/Document/FullText?findType=h&amp;pubNum=176284&amp;cite=0505475801&amp;originatingDoc=Ic4580120f9ea11efae3cdd08712d16e0&amp;refType=RQ&amp;originationContext=document&amp;vr=3.0&amp;rs=cblt1.0&amp;transitionType=DocumentItem&amp;contextData=(sc.History*oc.Default)"/>
  <Relationship Id="r71"
    Type="http://schemas.openxmlformats.org/officeDocument/2006/relationships/hyperlink"
    TargetMode="External"
    Target="https://www.westlaw.com/Link/Document/FullText?findType=h&amp;pubNum=176284&amp;cite=0205559001&amp;originatingDoc=Ic4580120f9ea11efae3cdd08712d16e0&amp;refType=RQ&amp;originationContext=document&amp;vr=3.0&amp;rs=cblt1.0&amp;transitionType=DocumentItem&amp;contextData=(sc.History*oc.Default)"/>
  <Relationship Id="r72"
    Type="http://schemas.openxmlformats.org/officeDocument/2006/relationships/hyperlink"
    TargetMode="External"
    Target="https://www.westlaw.com/Link/Document/FullText?findType=h&amp;pubNum=176284&amp;cite=0527246201&amp;originatingDoc=Ic4580120f9ea11efae3cdd08712d16e0&amp;refType=RQ&amp;originationContext=document&amp;vr=3.0&amp;rs=cblt1.0&amp;transitionType=DocumentItem&amp;contextData=(sc.History*oc.Default)"/>
  <Relationship Id="r73"
    Type="http://schemas.openxmlformats.org/officeDocument/2006/relationships/hyperlink"
    TargetMode="External"
    Target="https://www.westlaw.com/Link/Document/FullText?findType=h&amp;pubNum=176284&amp;cite=0481710201&amp;originatingDoc=Ic4580120f9ea11efae3cdd08712d16e0&amp;refType=RQ&amp;originationContext=document&amp;vr=3.0&amp;rs=cblt1.0&amp;transitionType=DocumentItem&amp;contextData=(sc.History*oc.Default)"/>
  <Relationship Id="r74"
    Type="http://schemas.openxmlformats.org/officeDocument/2006/relationships/hyperlink"
    TargetMode="External"
    Target="https://www.westlaw.com/Link/Document/FullText?findType=h&amp;pubNum=176284&amp;cite=0527246601&amp;originatingDoc=Ic4580120f9ea11efae3cdd08712d16e0&amp;refType=RQ&amp;originationContext=document&amp;vr=3.0&amp;rs=cblt1.0&amp;transitionType=DocumentItem&amp;contextData=(sc.History*oc.Default)"/>
  <Relationship Id="r75"
    Type="http://schemas.openxmlformats.org/officeDocument/2006/relationships/hyperlink"
    TargetMode="External"
    Target="https://www.westlaw.com/Link/Document/FullText?findType=h&amp;pubNum=176284&amp;cite=0430111501&amp;originatingDoc=Ic4580120f9ea11efae3cdd08712d16e0&amp;refType=RQ&amp;originationContext=document&amp;vr=3.0&amp;rs=cblt1.0&amp;transitionType=DocumentItem&amp;contextData=(sc.History*oc.Default)"/>
  <Relationship Id="r76"
    Type="http://schemas.openxmlformats.org/officeDocument/2006/relationships/hyperlink"
    TargetMode="External"
    Target="https://www.westlaw.com/Link/Document/FullText?findType=L&amp;pubNum=1000600&amp;cite=USFRCPR56&amp;originatingDoc=Ic4580120f9ea11efae3cdd08712d16e0&amp;refType=RB&amp;originationContext=document&amp;vr=3.0&amp;rs=cblt1.0&amp;transitionType=DocumentItem&amp;contextData=(sc.History*oc.Default)#co_pp_8b3b0000958a4"/>
  <Relationship Id="r77"
    Type="http://schemas.openxmlformats.org/officeDocument/2006/relationships/hyperlink"
    TargetMode="External"
    Target="https://www.westlaw.com/Link/Document/FullText?findType=Y&amp;serNum=1986132674&amp;pubNum=0000780&amp;originatingDoc=Ic4580120f9ea11efae3cdd08712d16e0&amp;refType=RP&amp;fi=co_pp_sp_780_247&amp;originationContext=document&amp;vr=3.0&amp;rs=cblt1.0&amp;transitionType=DocumentItem&amp;contextData=(sc.History*oc.Default)#co_pp_sp_780_247"/>
  <Relationship Id="r78"
    Type="http://schemas.openxmlformats.org/officeDocument/2006/relationships/hyperlink"
    TargetMode="External"
    Target="https://www.westlaw.com/Link/Document/FullText?findType=Y&amp;serNum=1986132674&amp;pubNum=0000708&amp;originatingDoc=Ic4580120f9ea11efae3cdd08712d16e0&amp;refType=RP&amp;originationContext=document&amp;vr=3.0&amp;rs=cblt1.0&amp;transitionType=DocumentItem&amp;contextData=(sc.History*oc.Default)"/>
  <Relationship Id="r79"
    Type="http://schemas.openxmlformats.org/officeDocument/2006/relationships/hyperlink"
    TargetMode="External"
    Target="https://www.westlaw.com/Link/Document/FullText?findType=Y&amp;serNum=1986132674&amp;pubNum=0000708&amp;originatingDoc=Ic4580120f9ea11efae3cdd08712d16e0&amp;refType=RP&amp;originationContext=document&amp;vr=3.0&amp;rs=cblt1.0&amp;transitionType=DocumentItem&amp;contextData=(sc.History*oc.Default)"/>
  <Relationship Id="r80"
    Type="http://schemas.openxmlformats.org/officeDocument/2006/relationships/hyperlink"
    TargetMode="External"
    Target="https://www.westlaw.com/Link/Document/FullText?findType=Y&amp;serNum=1986132677&amp;pubNum=0000780&amp;originatingDoc=Ic4580120f9ea11efae3cdd08712d16e0&amp;refType=RP&amp;fi=co_pp_sp_780_323&amp;originationContext=document&amp;vr=3.0&amp;rs=cblt1.0&amp;transitionType=DocumentItem&amp;contextData=(sc.History*oc.Default)#co_pp_sp_780_323"/>
  <Relationship Id="r81"
    Type="http://schemas.openxmlformats.org/officeDocument/2006/relationships/hyperlink"
    TargetMode="External"
    Target="https://www.westlaw.com/Link/Document/FullText?findType=Y&amp;serNum=2000111545&amp;pubNum=0000506&amp;originatingDoc=Ic4580120f9ea11efae3cdd08712d16e0&amp;refType=RP&amp;fi=co_pp_sp_506_1102&amp;originationContext=document&amp;vr=3.0&amp;rs=cblt1.0&amp;transitionType=DocumentItem&amp;contextData=(sc.History*oc.Default)#co_pp_sp_506_1102"/>
  <Relationship Id="r82"
    Type="http://schemas.openxmlformats.org/officeDocument/2006/relationships/hyperlink"
    TargetMode="External"
    Target="https://www.westlaw.com/Link/Document/FullText?findType=Y&amp;serNum=2001753324&amp;pubNum=0000506&amp;originatingDoc=Ic4580120f9ea11efae3cdd08712d16e0&amp;refType=RP&amp;fi=co_pp_sp_506_1076&amp;originationContext=document&amp;vr=3.0&amp;rs=cblt1.0&amp;transitionType=DocumentItem&amp;contextData=(sc.History*oc.Default)#co_pp_sp_506_1076"/>
  <Relationship Id="r83"
    Type="http://schemas.openxmlformats.org/officeDocument/2006/relationships/hyperlink"
    TargetMode="External"
    Target="https://www.westlaw.com/Link/Document/FullText?findType=Y&amp;serNum=1986132677&amp;pubNum=0000780&amp;originatingDoc=Ic4580120f9ea11efae3cdd08712d16e0&amp;refType=RP&amp;fi=co_pp_sp_780_325&amp;originationContext=document&amp;vr=3.0&amp;rs=cblt1.0&amp;transitionType=DocumentItem&amp;contextData=(sc.History*oc.Default)#co_pp_sp_780_325"/>
  <Relationship Id="r84"
    Type="http://schemas.openxmlformats.org/officeDocument/2006/relationships/hyperlink"
    TargetMode="External"
    Target="https://www.westlaw.com/Link/Document/FullText?findType=Y&amp;serNum=2014185291&amp;pubNum=0000506&amp;originatingDoc=Ic4580120f9ea11efae3cdd08712d16e0&amp;refType=RP&amp;fi=co_pp_sp_506_984&amp;originationContext=document&amp;vr=3.0&amp;rs=cblt1.0&amp;transitionType=DocumentItem&amp;contextData=(sc.History*oc.Default)#co_pp_sp_506_984"/>
  <Relationship Id="r85"
    Type="http://schemas.openxmlformats.org/officeDocument/2006/relationships/hyperlink"
    TargetMode="External"
    Target="https://www.westlaw.com/Link/Document/FullText?findType=Y&amp;serNum=2000111545&amp;pubNum=0000506&amp;originatingDoc=Ic4580120f9ea11efae3cdd08712d16e0&amp;refType=RP&amp;fi=co_pp_sp_506_1103&amp;originationContext=document&amp;vr=3.0&amp;rs=cblt1.0&amp;transitionType=DocumentItem&amp;contextData=(sc.History*oc.Default)#co_pp_sp_506_1103"/>
  <Relationship Id="r86"
    Type="http://schemas.openxmlformats.org/officeDocument/2006/relationships/hyperlink"
    TargetMode="External"
    Target="https://www.westlaw.com/Link/Document/FullText?findType=Y&amp;serNum=2001753324&amp;pubNum=0000506&amp;originatingDoc=Ic4580120f9ea11efae3cdd08712d16e0&amp;refType=RP&amp;fi=co_pp_sp_506_1076&amp;originationContext=document&amp;vr=3.0&amp;rs=cblt1.0&amp;transitionType=DocumentItem&amp;contextData=(sc.History*oc.Default)#co_pp_sp_506_1076"/>
  <Relationship Id="r87"
    Type="http://schemas.openxmlformats.org/officeDocument/2006/relationships/hyperlink"
    TargetMode="External"
    Target="https://www.westlaw.com/Link/Document/FullText?findType=Y&amp;serNum=1986132677&amp;pubNum=0000780&amp;originatingDoc=Ic4580120f9ea11efae3cdd08712d16e0&amp;refType=RP&amp;fi=co_pp_sp_780_322&amp;originationContext=document&amp;vr=3.0&amp;rs=cblt1.0&amp;transitionType=DocumentItem&amp;contextData=(sc.History*oc.Default)#co_pp_sp_780_322"/>
  <Relationship Id="r88"
    Type="http://schemas.openxmlformats.org/officeDocument/2006/relationships/hyperlink"
    TargetMode="External"
    Target="https://www.westlaw.com/Link/Document/FullText?findType=Y&amp;serNum=1986115992&amp;pubNum=0000780&amp;originatingDoc=Ic4580120f9ea11efae3cdd08712d16e0&amp;refType=RP&amp;fi=co_pp_sp_780_587&amp;originationContext=document&amp;vr=3.0&amp;rs=cblt1.0&amp;transitionType=DocumentItem&amp;contextData=(sc.History*oc.Default)#co_pp_sp_780_587"/>
  <Relationship Id="r89"
    Type="http://schemas.openxmlformats.org/officeDocument/2006/relationships/hyperlink"
    TargetMode="External"
    Target="https://www.westlaw.com/Link/Document/FullText?findType=Y&amp;serNum=1991053408&amp;pubNum=0000350&amp;originatingDoc=Ic4580120f9ea11efae3cdd08712d16e0&amp;refType=RP&amp;fi=co_pp_sp_350_1509&amp;originationContext=document&amp;vr=3.0&amp;rs=cblt1.0&amp;transitionType=DocumentItem&amp;contextData=(sc.History*oc.Default)#co_pp_sp_350_1509"/>
  <Relationship Id="r90"
    Type="http://schemas.openxmlformats.org/officeDocument/2006/relationships/hyperlink"
    TargetMode="External"
    Target="https://www.westlaw.com/Link/Document/FullText?findType=L&amp;pubNum=1000600&amp;cite=USFRCPR56&amp;originatingDoc=Ic4580120f9ea11efae3cdd08712d16e0&amp;refType=RB&amp;originationContext=document&amp;vr=3.0&amp;rs=cblt1.0&amp;transitionType=DocumentItem&amp;contextData=(sc.History*oc.Default)#co_pp_b1b5000051ac5"/>
  <Relationship Id="r91"
    Type="http://schemas.openxmlformats.org/officeDocument/2006/relationships/hyperlink"
    TargetMode="External"
    Target="https://www.westlaw.com/Link/Document/FullText?findType=Y&amp;serNum=2070805587&amp;pubNum=0000999&amp;originatingDoc=Ic4580120f9ea11efae3cdd08712d16e0&amp;refType=RP&amp;fi=co_pp_sp_999_1&amp;originationContext=document&amp;vr=3.0&amp;rs=cblt1.0&amp;transitionType=DocumentItem&amp;contextData=(sc.History*oc.Default)#co_pp_sp_999_1"/>
  <Relationship Id="r92"
    Type="http://schemas.openxmlformats.org/officeDocument/2006/relationships/hyperlink"
    TargetMode="External"
    Target="https://www.westlaw.com/Link/Document/FullText?findType=Y&amp;serNum=2003559548&amp;pubNum=0004040&amp;originatingDoc=Ic4580120f9ea11efae3cdd08712d16e0&amp;refType=RP&amp;fi=co_pp_sp_4040_647&amp;originationContext=document&amp;vr=3.0&amp;rs=cblt1.0&amp;transitionType=DocumentItem&amp;contextData=(sc.History*oc.Default)#co_pp_sp_4040_647"/>
  <Relationship Id="r93"
    Type="http://schemas.openxmlformats.org/officeDocument/2006/relationships/hyperlink"
    TargetMode="External"
    Target="https://www.westlaw.com/Link/Document/FullText?findType=Y&amp;serNum=1993221684&amp;pubNum=0004040&amp;originatingDoc=Ic4580120f9ea11efae3cdd08712d16e0&amp;refType=RP&amp;fi=co_pp_sp_4040_295&amp;originationContext=document&amp;vr=3.0&amp;rs=cblt1.0&amp;transitionType=DocumentItem&amp;contextData=(sc.History*oc.Default)#co_pp_sp_4040_295"/>
  <Relationship Id="r94"
    Type="http://schemas.openxmlformats.org/officeDocument/2006/relationships/hyperlink"
    TargetMode="External"
    Target="https://www.westlaw.com/Link/Document/FullText?findType=Y&amp;serNum=2006989172&amp;pubNum=0004040&amp;originatingDoc=Ic4580120f9ea11efae3cdd08712d16e0&amp;refType=RP&amp;fi=co_pp_sp_4040_654&amp;originationContext=document&amp;vr=3.0&amp;rs=cblt1.0&amp;transitionType=DocumentItem&amp;contextData=(sc.History*oc.Default)#co_pp_sp_4040_654"/>
  <Relationship Id="r95"
    Type="http://schemas.openxmlformats.org/officeDocument/2006/relationships/hyperlink"
    TargetMode="External"
    Target="https://www.westlaw.com/Link/Document/FullText?findType=Y&amp;serNum=2033573835&amp;pubNum=0004040&amp;originatingDoc=Ic4580120f9ea11efae3cdd08712d16e0&amp;refType=RP&amp;fi=co_pp_sp_4040_287&amp;originationContext=document&amp;vr=3.0&amp;rs=cblt1.0&amp;transitionType=DocumentItem&amp;contextData=(sc.History*oc.Default)#co_pp_sp_4040_287"/>
  <Relationship Id="r96"
    Type="http://schemas.openxmlformats.org/officeDocument/2006/relationships/hyperlink"
    TargetMode="External"
    Target="https://www.westlaw.com/Link/Document/FullText?findType=Y&amp;serNum=2003559548&amp;pubNum=0004040&amp;originatingDoc=Ic4580120f9ea11efae3cdd08712d16e0&amp;refType=RP&amp;fi=co_pp_sp_4040_647&amp;originationContext=document&amp;vr=3.0&amp;rs=cblt1.0&amp;transitionType=DocumentItem&amp;contextData=(sc.History*oc.Default)#co_pp_sp_4040_647"/>
  <Relationship Id="r97"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98"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99"
    Type="http://schemas.openxmlformats.org/officeDocument/2006/relationships/hyperlink"
    TargetMode="External"
    Target="https://www.westlaw.com/Link/Document/FullText?findType=L&amp;pubNum=1000600&amp;cite=USFRCPR56&amp;originatingDoc=Ic4580120f9ea11efae3cdd08712d16e0&amp;refType=LQ&amp;originationContext=document&amp;vr=3.0&amp;rs=cblt1.0&amp;transitionType=DocumentItem&amp;contextData=(sc.History*oc.Default)"/>
  <Relationship Id="r100"
    Type="http://schemas.openxmlformats.org/officeDocument/2006/relationships/hyperlink"
    TargetMode="External"
    Target="https://www.westlaw.com/Link/Document/FullText?findType=Y&amp;serNum=2006989172&amp;pubNum=0004040&amp;originatingDoc=Ic4580120f9ea11efae3cdd08712d16e0&amp;refType=RP&amp;fi=co_pp_sp_4040_654&amp;originationContext=document&amp;vr=3.0&amp;rs=cblt1.0&amp;transitionType=DocumentItem&amp;contextData=(sc.History*oc.Default)#co_pp_sp_4040_654"/>
  <Relationship Id="r101"
    Type="http://schemas.openxmlformats.org/officeDocument/2006/relationships/hyperlink"
    TargetMode="External"
    Target="https://www.westlaw.com/Link/Document/FullText?findType=Y&amp;serNum=2033573835&amp;pubNum=0004040&amp;originatingDoc=Ic4580120f9ea11efae3cdd08712d16e0&amp;refType=RP&amp;fi=co_pp_sp_4040_287&amp;originationContext=document&amp;vr=3.0&amp;rs=cblt1.0&amp;transitionType=DocumentItem&amp;contextData=(sc.History*oc.Default)#co_pp_sp_4040_287"/>
  <Relationship Id="r102"
    Type="http://schemas.openxmlformats.org/officeDocument/2006/relationships/hyperlink"
    TargetMode="External"
    Target="https://www.westlaw.com/Link/Document/FullText?findType=Y&amp;serNum=2003559548&amp;pubNum=0004040&amp;originatingDoc=Ic4580120f9ea11efae3cdd08712d16e0&amp;refType=RP&amp;fi=co_pp_sp_4040_647&amp;originationContext=document&amp;vr=3.0&amp;rs=cblt1.0&amp;transitionType=DocumentItem&amp;contextData=(sc.History*oc.Default)#co_pp_sp_4040_647"/>
  <Relationship Id="r103"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104"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105"
    Type="http://schemas.openxmlformats.org/officeDocument/2006/relationships/hyperlink"
    TargetMode="External"
    Target="https://www.westlaw.com/Link/Document/FullText?findType=Y&amp;serNum=2070805587&amp;pubNum=0000999&amp;originatingDoc=Ic4580120f9ea11efae3cdd08712d16e0&amp;refType=RP&amp;fi=co_pp_sp_999_1&amp;originationContext=document&amp;vr=3.0&amp;rs=cblt1.0&amp;transitionType=DocumentItem&amp;contextData=(sc.History*oc.Default)#co_pp_sp_999_1"/>
  <Relationship Id="r106"
    Type="http://schemas.openxmlformats.org/officeDocument/2006/relationships/hyperlink"
    TargetMode="External"
    Target="https://www.westlaw.com/Link/Document/FullText?findType=Y&amp;serNum=2070600825&amp;pubNum=0007903&amp;originatingDoc=Ic4580120f9ea11efae3cdd08712d16e0&amp;refType=RP&amp;fi=co_pp_sp_7903_898&amp;originationContext=document&amp;vr=3.0&amp;rs=cblt1.0&amp;transitionType=DocumentItem&amp;contextData=(sc.History*oc.Default)#co_pp_sp_7903_898"/>
  <Relationship Id="r107"
    Type="http://schemas.openxmlformats.org/officeDocument/2006/relationships/hyperlink"
    TargetMode="External"
    Target="https://www.westlaw.com/Link/Document/FullText?findType=Y&amp;serNum=2053736727&amp;pubNum=0000999&amp;originatingDoc=Ic4580120f9ea11efae3cdd08712d16e0&amp;refType=RP&amp;fi=co_pp_sp_999_7&amp;originationContext=document&amp;vr=3.0&amp;rs=cblt1.0&amp;transitionType=DocumentItem&amp;contextData=(sc.History*oc.Default)#co_pp_sp_999_7"/>
  <Relationship Id="r108"
    Type="http://schemas.openxmlformats.org/officeDocument/2006/relationships/hyperlink"
    TargetMode="External"
    Target="https://www.westlaw.com/Link/Document/FullText?findType=L&amp;pubNum=1000546&amp;cite=28USCAS1407&amp;originatingDoc=Ic4580120f9ea11efae3cdd08712d16e0&amp;refType=LQ&amp;originationContext=document&amp;vr=3.0&amp;rs=cblt1.0&amp;transitionType=DocumentItem&amp;contextData=(sc.History*oc.Default)"/>
  <Relationship Id="r109"
    Type="http://schemas.openxmlformats.org/officeDocument/2006/relationships/hyperlink"
    TargetMode="External"
    Target="https://www.westlaw.com/Link/Document/FullText?findType=Y&amp;serNum=1997156295&amp;pubNum=0004040&amp;originatingDoc=Ic4580120f9ea11efae3cdd08712d16e0&amp;refType=RP&amp;originationContext=document&amp;vr=3.0&amp;rs=cblt1.0&amp;transitionType=DocumentItem&amp;contextData=(sc.History*oc.Default)"/>
  <Relationship Id="r110"
    Type="http://schemas.openxmlformats.org/officeDocument/2006/relationships/hyperlink"
    TargetMode="External"
    Target="https://www.westlaw.com/Link/Document/FullText?findType=Y&amp;serNum=1997156295&amp;pubNum=0004040&amp;originatingDoc=Ic4580120f9ea11efae3cdd08712d16e0&amp;refType=RP&amp;fi=co_pp_sp_4040_49&amp;originationContext=document&amp;vr=3.0&amp;rs=cblt1.0&amp;transitionType=DocumentItem&amp;contextData=(sc.History*oc.Default)#co_pp_sp_4040_49"/>
  <Relationship Id="r111"
    Type="http://schemas.openxmlformats.org/officeDocument/2006/relationships/hyperlink"
    TargetMode="External"
    Target="https://www.westlaw.com/Link/Document/FullText?findType=Y&amp;serNum=1997156295&amp;pubNum=0004040&amp;originatingDoc=Ic4580120f9ea11efae3cdd08712d16e0&amp;refType=RP&amp;originationContext=document&amp;vr=3.0&amp;rs=cblt1.0&amp;transitionType=DocumentItem&amp;contextData=(sc.History*oc.Default)"/>
  <Relationship Id="r112"
    Type="http://schemas.openxmlformats.org/officeDocument/2006/relationships/hyperlink"
    TargetMode="External"
    Target="https://www.westlaw.com/Link/Document/FullText?findType=Y&amp;serNum=1997156295&amp;pubNum=0004040&amp;originatingDoc=Ic4580120f9ea11efae3cdd08712d16e0&amp;refType=RP&amp;originationContext=document&amp;vr=3.0&amp;rs=cblt1.0&amp;transitionType=DocumentItem&amp;contextData=(sc.History*oc.Default)"/>
  <Relationship Id="r113"
    Type="http://schemas.openxmlformats.org/officeDocument/2006/relationships/hyperlink"
    TargetMode="External"
    Target="https://www.westlaw.com/Link/Document/FullText?findType=Y&amp;serNum=2001784018&amp;pubNum=0004041&amp;originatingDoc=Ic4580120f9ea11efae3cdd08712d16e0&amp;refType=RP&amp;fi=co_pp_sp_4041_324&amp;originationContext=document&amp;vr=3.0&amp;rs=cblt1.0&amp;transitionType=DocumentItem&amp;contextData=(sc.History*oc.Default)#co_pp_sp_4041_324"/>
  <Relationship Id="r114"
    Type="http://schemas.openxmlformats.org/officeDocument/2006/relationships/hyperlink"
    TargetMode="External"
    Target="https://www.westlaw.com/Link/Document/FullText?findType=Y&amp;serNum=1973125182&amp;pubNum=0000233&amp;originatingDoc=Ic4580120f9ea11efae3cdd08712d16e0&amp;refType=RP&amp;fi=co_pp_sp_233_201&amp;originationContext=document&amp;vr=3.0&amp;rs=cblt1.0&amp;transitionType=DocumentItem&amp;contextData=(sc.History*oc.Default)#co_pp_sp_233_201"/>
  <Relationship Id="r115"
    Type="http://schemas.openxmlformats.org/officeDocument/2006/relationships/hyperlink"
    TargetMode="External"
    Target="https://www.westlaw.com/Link/Document/FullText?findType=Y&amp;serNum=2003559548&amp;pubNum=0004040&amp;originatingDoc=Ic4580120f9ea11efae3cdd08712d16e0&amp;refType=RP&amp;fi=co_pp_sp_4040_648&amp;originationContext=document&amp;vr=3.0&amp;rs=cblt1.0&amp;transitionType=DocumentItem&amp;contextData=(sc.History*oc.Default)#co_pp_sp_4040_648"/>
  <Relationship Id="r116"
    Type="http://schemas.openxmlformats.org/officeDocument/2006/relationships/hyperlink"
    TargetMode="External"
    Target="https://www.westlaw.com/Link/Document/FullText?findType=Y&amp;serNum=1966130745&amp;pubNum=0000231&amp;originatingDoc=Ic4580120f9ea11efae3cdd08712d16e0&amp;refType=RP&amp;fi=co_pp_sp_231_271&amp;originationContext=document&amp;vr=3.0&amp;rs=cblt1.0&amp;transitionType=DocumentItem&amp;contextData=(sc.History*oc.Default)#co_pp_sp_231_271"/>
  <Relationship Id="r117"
    Type="http://schemas.openxmlformats.org/officeDocument/2006/relationships/hyperlink"
    TargetMode="External"
    Target="https://www.westlaw.com/Link/Document/FullText?findType=Y&amp;serNum=2003559548&amp;pubNum=0004040&amp;originatingDoc=Ic4580120f9ea11efae3cdd08712d16e0&amp;refType=RP&amp;fi=co_pp_sp_4040_649&amp;originationContext=document&amp;vr=3.0&amp;rs=cblt1.0&amp;transitionType=DocumentItem&amp;contextData=(sc.History*oc.Default)#co_pp_sp_4040_649"/>
  <Relationship Id="r118"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119"
    Type="http://schemas.openxmlformats.org/officeDocument/2006/relationships/hyperlink"
    TargetMode="External"
    Target="https://www.westlaw.com/Link/Document/FullText?findType=Y&amp;serNum=2003559548&amp;pubNum=0004040&amp;originatingDoc=Ic4580120f9ea11efae3cdd08712d16e0&amp;refType=RP&amp;fi=co_pp_sp_4040_640&amp;originationContext=document&amp;vr=3.0&amp;rs=cblt1.0&amp;transitionType=DocumentItem&amp;contextData=(sc.History*oc.Default)#co_pp_sp_4040_640"/>
  <Relationship Id="r120"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121"
    Type="http://schemas.openxmlformats.org/officeDocument/2006/relationships/hyperlink"
    TargetMode="External"
    Target="https://www.westlaw.com/Link/Document/FullText?findType=Y&amp;serNum=2003559548&amp;pubNum=0004645&amp;originatingDoc=Ic4580120f9ea11efae3cdd08712d16e0&amp;refType=RP&amp;originationContext=document&amp;vr=3.0&amp;rs=cblt1.0&amp;transitionType=DocumentItem&amp;contextData=(sc.History*oc.Default)"/>
  <Relationship Id="r122"
    Type="http://schemas.openxmlformats.org/officeDocument/2006/relationships/hyperlink"
    TargetMode="External"
    Target="https://www.westlaw.com/Link/Document/FullText?findType=Y&amp;serNum=2052191270&amp;pubNum=0000999&amp;originatingDoc=Ic4580120f9ea11efae3cdd08712d16e0&amp;refType=RP&amp;originationContext=document&amp;vr=3.0&amp;rs=cblt1.0&amp;transitionType=DocumentItem&amp;contextData=(sc.History*oc.Default)"/>
  <Relationship Id="r123"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124"
    Type="http://schemas.openxmlformats.org/officeDocument/2006/relationships/hyperlink"
    TargetMode="External"
    Target="https://www.westlaw.com/Link/Document/FullText?findType=Y&amp;serNum=1993221684&amp;pubNum=0004040&amp;originatingDoc=Ic4580120f9ea11efae3cdd08712d16e0&amp;refType=RP&amp;fi=co_pp_sp_4040_295&amp;originationContext=document&amp;vr=3.0&amp;rs=cblt1.0&amp;transitionType=DocumentItem&amp;contextData=(sc.History*oc.Default)#co_pp_sp_4040_295"/>
  <Relationship Id="r125"
    Type="http://schemas.openxmlformats.org/officeDocument/2006/relationships/hyperlink"
    TargetMode="External"
    Target="https://www.westlaw.com/Link/Document/FullText?findType=Y&amp;serNum=2006989172&amp;pubNum=0004040&amp;originatingDoc=Ic4580120f9ea11efae3cdd08712d16e0&amp;refType=RP&amp;fi=co_pp_sp_4040_654&amp;originationContext=document&amp;vr=3.0&amp;rs=cblt1.0&amp;transitionType=DocumentItem&amp;contextData=(sc.History*oc.Default)#co_pp_sp_4040_654"/>
  <Relationship Id="r126"
    Type="http://schemas.openxmlformats.org/officeDocument/2006/relationships/hyperlink"
    TargetMode="External"
    Target="https://www.westlaw.com/Link/Document/FullText?findType=Y&amp;serNum=1995178609&amp;pubNum=0004040&amp;originatingDoc=Ic4580120f9ea11efae3cdd08712d16e0&amp;refType=RP&amp;fi=co_pp_sp_4040_17&amp;originationContext=document&amp;vr=3.0&amp;rs=cblt1.0&amp;transitionType=DocumentItem&amp;contextData=(sc.History*oc.Default)#co_pp_sp_4040_17"/>
  <Relationship Id="r127"
    Type="http://schemas.openxmlformats.org/officeDocument/2006/relationships/hyperlink"
    TargetMode="External"
    Target="https://www.westlaw.com/Link/Document/FullText?findType=Y&amp;serNum=1993221684&amp;pubNum=0004040&amp;originatingDoc=Ic4580120f9ea11efae3cdd08712d16e0&amp;refType=RP&amp;fi=co_pp_sp_4040_295&amp;originationContext=document&amp;vr=3.0&amp;rs=cblt1.0&amp;transitionType=DocumentItem&amp;contextData=(sc.History*oc.Default)#co_pp_sp_4040_295"/>
  <Relationship Id="r128"
    Type="http://schemas.openxmlformats.org/officeDocument/2006/relationships/hyperlink"
    TargetMode="External"
    Target="https://www.westlaw.com/Link/Document/FullText?findType=L&amp;pubNum=1000600&amp;cite=USFRCPR56&amp;originatingDoc=Ic4580120f9ea11efae3cdd08712d16e0&amp;refType=RB&amp;originationContext=document&amp;vr=3.0&amp;rs=cblt1.0&amp;transitionType=DocumentItem&amp;contextData=(sc.History*oc.Default)#co_pp_5ba1000067d06"/>
  <Relationship Id="r129"
    Type="http://schemas.openxmlformats.org/officeDocument/2006/relationships/hyperlink"
    TargetMode="External"
    Target="https://www.westlaw.com/Link/Document/FullText?findType=Y&amp;serNum=2045228940&amp;pubNum=0000506&amp;originatingDoc=Ic4580120f9ea11efae3cdd08712d16e0&amp;refType=RP&amp;fi=co_pp_sp_506_678&amp;originationContext=document&amp;vr=3.0&amp;rs=cblt1.0&amp;transitionType=DocumentItem&amp;contextData=(sc.History*oc.Default)#co_pp_sp_506_678"/>
  <Relationship Id="r130"
    Type="http://schemas.openxmlformats.org/officeDocument/2006/relationships/hyperlink"
    TargetMode="External"
    Target="https://www.westlaw.com/Link/Document/FullText?findType=Y&amp;serNum=2001784018&amp;pubNum=0004041&amp;originatingDoc=Ic4580120f9ea11efae3cdd08712d16e0&amp;refType=RP&amp;fi=co_pp_sp_4041_324&amp;originationContext=document&amp;vr=3.0&amp;rs=cblt1.0&amp;transitionType=DocumentItem&amp;contextData=(sc.History*oc.Default)#co_pp_sp_4041_324"/>
  <Relationship Id="r131"
    Type="http://schemas.openxmlformats.org/officeDocument/2006/relationships/hyperlink"
    TargetMode="External"
    Target="https://www.westlaw.com/Link/Document/FullText?findType=Y&amp;serNum=1973125182&amp;pubNum=0000233&amp;originatingDoc=Ic4580120f9ea11efae3cdd08712d16e0&amp;refType=RP&amp;fi=co_pp_sp_233_201&amp;originationContext=document&amp;vr=3.0&amp;rs=cblt1.0&amp;transitionType=DocumentItem&amp;contextData=(sc.History*oc.Default)#co_pp_sp_233_201"/>
  <Relationship Id="r132"
    Type="http://schemas.openxmlformats.org/officeDocument/2006/relationships/hyperlink"
    TargetMode="External"
    Target="https://www.westlaw.com/Link/Document/FullText?findType=Y&amp;serNum=2003559548&amp;pubNum=0004040&amp;originatingDoc=Ic4580120f9ea11efae3cdd08712d16e0&amp;refType=RP&amp;fi=co_pp_sp_4040_648&amp;originationContext=document&amp;vr=3.0&amp;rs=cblt1.0&amp;transitionType=DocumentItem&amp;contextData=(sc.History*oc.Default)#co_pp_sp_4040_648"/>
  <Relationship Id="r133"
    Type="http://schemas.openxmlformats.org/officeDocument/2006/relationships/hyperlink"
    TargetMode="External"
    Target="https://www.westlaw.com/Link/Document/FullText?findType=Y&amp;serNum=1994200602&amp;pubNum=0000345&amp;originatingDoc=Ic4580120f9ea11efae3cdd08712d16e0&amp;refType=RP&amp;fi=co_pp_sp_345_980&amp;originationContext=document&amp;vr=3.0&amp;rs=cblt1.0&amp;transitionType=DocumentItem&amp;contextData=(sc.History*oc.Default)#co_pp_sp_345_980"/>
  <Relationship Id="r134"
    Type="http://schemas.openxmlformats.org/officeDocument/2006/relationships/hyperlink"
    TargetMode="External"
    Target="https://www.westlaw.com/Link/Document/FullText?findType=Y&amp;serNum=2055324461&amp;pubNum=0007980&amp;originatingDoc=Ic4580120f9ea11efae3cdd08712d16e0&amp;refType=RP&amp;fi=co_pp_sp_7980_256&amp;originationContext=document&amp;vr=3.0&amp;rs=cblt1.0&amp;transitionType=DocumentItem&amp;contextData=(sc.History*oc.Default)#co_pp_sp_7980_256"/>
  <Relationship Id="r135"
    Type="http://schemas.openxmlformats.org/officeDocument/2006/relationships/hyperlink"
    TargetMode="External"
    Target="https://www.westlaw.com/Link/Document/FullText?findType=Y&amp;serNum=2014916353&amp;pubNum=0004041&amp;originatingDoc=Ic4580120f9ea11efae3cdd08712d16e0&amp;refType=RP&amp;fi=co_pp_sp_4041_515&amp;originationContext=document&amp;vr=3.0&amp;rs=cblt1.0&amp;transitionType=DocumentItem&amp;contextData=(sc.History*oc.Default)#co_pp_sp_4041_515"/>
  <Relationship Id="r136"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137"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138"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139"
    Type="http://schemas.openxmlformats.org/officeDocument/2006/relationships/hyperlink"
    TargetMode="External"
    Target="https://www.westlaw.com/Link/Document/FullText?findType=Y&amp;serNum=2003559548&amp;pubNum=0004040&amp;originatingDoc=Ic4580120f9ea11efae3cdd08712d16e0&amp;refType=RP&amp;originationContext=document&amp;vr=3.0&amp;rs=cblt1.0&amp;transitionType=DocumentItem&amp;contextData=(sc.History*oc.Default)"/>
  <Relationship Id="r140"
    Type="http://schemas.openxmlformats.org/officeDocument/2006/relationships/hyperlink"
    TargetMode="External"
    Target="https://www.westlaw.com/Link/Document/FullText?findType=Y&amp;serNum=2003559548&amp;pubNum=0004040&amp;originatingDoc=Ic4580120f9ea11efae3cdd08712d16e0&amp;refType=RP&amp;fi=co_pp_sp_4040_651&amp;originationContext=document&amp;vr=3.0&amp;rs=cblt1.0&amp;transitionType=DocumentItem&amp;contextData=(sc.History*oc.Default)#co_pp_sp_4040_651"/>
  <Relationship Id="r141"
    Type="http://schemas.openxmlformats.org/officeDocument/2006/relationships/hyperlink"
    TargetMode="External"
    Target="https://www.westlaw.com/Link/Document/FullText?findType=Y&amp;serNum=2073644508&amp;pubNum=0004031&amp;originatingDoc=Ic4580120f9ea11efae3cdd08712d16e0&amp;refType=RP&amp;originationContext=document&amp;vr=3.0&amp;rs=cblt1.0&amp;transitionType=DocumentItem&amp;contextData=(sc.History*oc.Default)"/>
  <Relationship Id="r142"
    Type="http://schemas.openxmlformats.org/officeDocument/2006/relationships/hyperlink"
    TargetMode="External"
    Target="https://www.westlaw.com/Link/Document/FullText?findType=Y&amp;serNum=2051493092&amp;pubNum=0007903&amp;originatingDoc=Ic4580120f9ea11efae3cdd08712d16e0&amp;refType=RP&amp;fi=co_pp_sp_7903_1061&amp;originationContext=document&amp;vr=3.0&amp;rs=cblt1.0&amp;transitionType=DocumentItem&amp;contextData=(sc.History*oc.Default)#co_pp_sp_7903_1061"/>
  <Relationship Id="r143"
    Type="http://schemas.openxmlformats.org/officeDocument/2006/relationships/hyperlink"
    TargetMode="External"
    Target="https://www.westlaw.com/Link/Document/FullText?findType=Y&amp;serNum=2051493092&amp;pubNum=0007903&amp;originatingDoc=Ic4580120f9ea11efae3cdd08712d16e0&amp;refType=RP&amp;originationContext=document&amp;vr=3.0&amp;rs=cblt1.0&amp;transitionType=DocumentItem&amp;contextData=(sc.History*oc.Default)"/>
  <Relationship Id="r144"
    Type="http://schemas.openxmlformats.org/officeDocument/2006/relationships/hyperlink"
    TargetMode="External"
    Target="https://www.westlaw.com/Link/Document/FullText?findType=Y&amp;serNum=1997156295&amp;pubNum=0004040&amp;originatingDoc=Ic4580120f9ea11efae3cdd08712d16e0&amp;refType=RP&amp;originationContext=document&amp;vr=3.0&amp;rs=cblt1.0&amp;transitionType=DocumentItem&amp;contextData=(sc.History*oc.Default)"/>
  <Relationship Id="r145"
    Type="http://schemas.openxmlformats.org/officeDocument/2006/relationships/hyperlink"
    TargetMode="External"
    Target="https://www.westlaw.com/Link/Document/FullText?findType=Y&amp;serNum=1997156295&amp;pubNum=0004040&amp;originatingDoc=Ic4580120f9ea11efae3cdd08712d16e0&amp;refType=RP&amp;fi=co_pp_sp_4040_49&amp;originationContext=document&amp;vr=3.0&amp;rs=cblt1.0&amp;transitionType=DocumentItem&amp;contextData=(sc.History*oc.Default)#co_pp_sp_4040_49"/>
  <Relationship Id="r146"
    Type="http://schemas.openxmlformats.org/officeDocument/2006/relationships/hyperlink"
    TargetMode="External"
    Target="https://www.westlaw.com/Link/Document/FullText?findType=Y&amp;serNum=2003559548&amp;pubNum=0004040&amp;originatingDoc=Ic4580120f9ea11efae3cdd08712d16e0&amp;refType=RP&amp;fi=co_pp_sp_4040_639&amp;originationContext=document&amp;vr=3.0&amp;rs=cblt1.0&amp;transitionType=DocumentItem&amp;contextData=(sc.History*oc.Default)#co_pp_sp_4040_639"/>
  <Relationship Id="r147"
    Type="http://schemas.openxmlformats.org/officeDocument/2006/relationships/hyperlink"
    TargetMode="External"
    Target="https://www.westlaw.com/Link/Document/FullText?findType=Y&amp;serNum=1993221684&amp;pubNum=0004040&amp;originatingDoc=Ic4580120f9ea11efae3cdd08712d16e0&amp;refType=RP&amp;fi=co_pp_sp_4040_299&amp;originationContext=document&amp;vr=3.0&amp;rs=cblt1.0&amp;transitionType=DocumentItem&amp;contextData=(sc.History*oc.Default)#co_pp_sp_4040_299"/>
</Relationships>

</file>

<file path=_rels/footer1.xml.rels><?xml version="1.0" encoding="UTF-8"?>
<Relationships xmlns="http://schemas.openxmlformats.org/package/2006/relationships">
  <Relationship Id="r1"
    Type="http://schemas.openxmlformats.org/officeDocument/2006/relationships/image"
    Target="images/1.png"/>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c4580120f9ea11efae3cdd08712d16e0_Targe"/>
      <w:bookmarkEnd w:id="1"/>
    </w:p>
    <w:bookmarkEnd w:id="0"/>
    <w:p>
      <w:pPr>
        <w:spacing w:before="0" w:after="0" w:line="275" w:lineRule="atLeast"/>
        <w:jc w:val="center"/>
      </w:pPr>
      <w:r>
        <w:rPr>
          <w:rFonts w:ascii="Georgia" w:hAnsi="Georgia"/>
          <w:color w:val="1f1f1f"/>
          <w:sz w:val="20"/>
        </w:rPr>
        <w:t>2025 WL 699361</w:t>
      </w:r>
    </w:p>
    <w:p>
      <w:pPr>
        <w:spacing w:before="0" w:after="0" w:line="275" w:lineRule="atLeast"/>
        <w:jc w:val="center"/>
      </w:pPr>
      <w:r>
        <w:rPr>
          <w:rFonts w:ascii="Georgia" w:hAnsi="Georgia"/>
          <w:color w:val="1f1f1f"/>
          <w:sz w:val="20"/>
        </w:rPr>
        <w:t>Only the Westlaw citation is currently available.</w:t>
      </w:r>
    </w:p>
    <w:p>
      <w:pPr>
        <w:spacing w:before="0" w:after="0" w:line="275" w:lineRule="atLeast"/>
        <w:jc w:val="center"/>
      </w:pPr>
      <w:r>
        <w:rPr>
          <w:rFonts w:ascii="Georgia" w:hAnsi="Georgia"/>
          <w:color w:val="1f1f1f"/>
          <w:sz w:val="20"/>
        </w:rPr>
        <w:t>United States District Court, N.D. California,</w:t>
      </w:r>
    </w:p>
    <w:p>
      <w:pPr>
        <w:spacing w:before="0" w:after="0" w:line="275" w:lineRule="atLeast"/>
        <w:jc w:val="center"/>
      </w:pPr>
      <w:r>
        <w:rPr>
          <w:rFonts w:ascii="Georgia" w:hAnsi="Georgia"/>
          <w:color w:val="1f1f1f"/>
          <w:sz w:val="20"/>
        </w:rPr>
        <w:t>San Francisco Division.</w:t>
      </w:r>
    </w:p>
    <w:p>
      <w:pPr>
        <w:spacing w:before="200" w:after="0" w:line="300" w:lineRule="atLeast"/>
        <w:ind w:left="100" w:right="100" w:firstLine="0"/>
        <w:jc w:val="center"/>
      </w:pPr>
      <w:r>
        <w:rPr>
          <w:rFonts w:ascii="Georgia" w:hAnsi="Georgia"/>
          <w:color w:val="212121"/>
          <w:sz w:val="20"/>
        </w:rPr>
        <w:t>NATIONAL FOAM, INC., Plaintiff,</w:t>
      </w:r>
    </w:p>
    <w:p>
      <w:pPr>
        <w:spacing w:before="0" w:after="0" w:line="300" w:lineRule="atLeast"/>
        <w:ind w:left="100" w:right="100" w:firstLine="0"/>
        <w:jc w:val="center"/>
      </w:pPr>
      <w:r>
        <w:rPr>
          <w:rFonts w:ascii="Georgia" w:hAnsi="Georgia"/>
          <w:color w:val="212121"/>
          <w:sz w:val="20"/>
        </w:rPr>
        <w:t>v.</w:t>
      </w:r>
    </w:p>
    <w:p>
      <w:pPr>
        <w:spacing w:before="0" w:after="0" w:line="300" w:lineRule="atLeast"/>
        <w:ind w:left="100" w:right="100" w:firstLine="0"/>
        <w:jc w:val="center"/>
      </w:pPr>
      <w:hyperlink r:id="r7">
        <w:r>
          <w:rPr>
            <w:rFonts w:ascii="Georgia" w:hAnsi="Georgia"/>
            <w:color w:val="006fc4"/>
            <w:sz w:val="20"/>
          </w:rPr>
          <w:t>ZURICH AMERICAN INSURANCE COMPANY</w:t>
        </w:r>
      </w:hyperlink>
      <w:r>
        <w:rPr>
          <w:rFonts w:ascii="Georgia" w:hAnsi="Georgia"/>
          <w:color w:val="212121"/>
          <w:sz w:val="20"/>
        </w:rPr>
        <w:t>, Defendant.</w:t>
      </w:r>
    </w:p>
    <w:p>
      <w:pPr>
        <w:pBdr>
          <w:left w:val="none" w:space="8"/>
        </w:pBdr>
        <w:spacing w:before="200" w:after="0" w:line="275" w:lineRule="atLeast"/>
        <w:ind w:left="150" w:right="0" w:firstLine="0"/>
        <w:jc w:val="center"/>
      </w:pPr>
      <w:r>
        <w:rPr>
          <w:rFonts w:ascii="Georgia" w:hAnsi="Georgia"/>
          <w:color w:val="1f1f1f"/>
          <w:sz w:val="20"/>
        </w:rPr>
        <w:t>Case No. 23-cv-03873-LB</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Signed February 26, 2025</w:t>
      </w:r>
    </w:p>
    <w:bookmarkStart w:id="2" w:name="co_synopsis_1"/>
    <w:p>
      <w:pPr>
        <w:keepNext/>
        <w:keepLines/>
        <w:spacing w:before="600" w:after="0" w:line="275" w:lineRule="atLeast"/>
        <w:jc w:val="both"/>
      </w:pPr>
      <w:r>
        <w:rPr>
          <w:rFonts w:ascii="Times New Roman" w:hAnsi="Times New Roman"/>
          <w:b/>
          <w:color w:val="212121"/>
          <w:sz w:val="20"/>
        </w:rPr>
        <w:t>Synopsis</w:t>
      </w:r>
    </w:p>
    <w:bookmarkEnd w:id="2"/>
    <w:p>
      <w:pPr>
        <w:spacing w:before="0" w:after="0" w:line="275" w:lineRule="atLeast"/>
        <w:jc w:val="both"/>
      </w:pPr>
      <w:r>
        <w:rPr>
          <w:rFonts w:ascii="Times New Roman" w:hAnsi="Times New Roman"/>
          <w:b/>
          <w:color w:val="1f1f1f"/>
          <w:sz w:val="20"/>
        </w:rPr>
        <w:t>Background:</w:t>
      </w:r>
      <w:r>
        <w:rPr>
          <w:rFonts w:ascii="Times New Roman" w:hAnsi="Times New Roman"/>
          <w:color w:val="1f1f1f"/>
          <w:sz w:val="20"/>
        </w:rPr>
        <w:t xml:space="preserve"> Insured manufacturer and seller of chemical products brought action in state court against insurers, alleging breach of commercial general liability (CGL) insurance policies for failure to defend it in underlying multidistrict litigation (MDL) over concerns about presence of PFOA (perfluorooctanoic acid) and PFOS (perfluorooctane sulfonic acid), both types of per-and poly-fluoroalkyl substances (PFAS), in aqueous film forming foams (AFFF). Insurers removed action. Insured moved for summary judgment.</w:t>
      </w:r>
    </w:p>
    <w:p>
      <w:pPr>
        <w:spacing w:before="0" w:after="0" w:line="275" w:lineRule="atLeast"/>
        <w:jc w:val="both"/>
      </w:pPr>
      <w:r>
        <w:rPr>
          <w:rFonts w:ascii="Times New Roman" w:hAnsi="Times New Roman"/>
          <w:color w:val="1f1f1f"/>
          <w:sz w:val="20"/>
        </w:rPr>
        <w:t> </w:t>
      </w:r>
    </w:p>
    <w:p>
      <w:pPr>
        <w:spacing w:before="400" w:after="0" w:line="275" w:lineRule="atLeast"/>
        <w:jc w:val="both"/>
      </w:pPr>
      <w:r>
        <w:rPr>
          <w:rFonts w:ascii="Times New Roman" w:hAnsi="Times New Roman"/>
          <w:b/>
          <w:color w:val="1f1f1f"/>
          <w:sz w:val="20"/>
        </w:rPr>
        <w:t>Holdings:</w:t>
      </w:r>
      <w:r>
        <w:rPr>
          <w:rFonts w:ascii="Times New Roman" w:hAnsi="Times New Roman"/>
          <w:color w:val="1f1f1f"/>
          <w:sz w:val="20"/>
        </w:rPr>
        <w:t xml:space="preserve"> The District Court, </w:t>
      </w:r>
      <w:hyperlink r:id="r8">
        <w:r>
          <w:rPr>
            <w:rFonts w:ascii="Times New Roman" w:hAnsi="Times New Roman"/>
            <w:color w:val="006fc4"/>
            <w:sz w:val="20"/>
          </w:rPr>
          <w:t>Laurel Beeler</w:t>
        </w:r>
      </w:hyperlink>
      <w:r>
        <w:rPr>
          <w:rFonts w:ascii="Times New Roman" w:hAnsi="Times New Roman"/>
          <w:color w:val="1f1f1f"/>
          <w:sz w:val="20"/>
        </w:rPr>
        <w:t>, United States Magistrate Judge, held that: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82083311327_1">
        <w:r>
          <w:rPr>
            <w:rFonts w:ascii="Times New Roman" w:hAnsi="Times New Roman"/>
            <w:color w:val="006fc4"/>
            <w:sz w:val="20"/>
            <w:vertAlign w:val="superscript"/>
          </w:rPr>
          <w:t>[1]</w:t>
        </w:r>
      </w:hyperlink>
      <w:r>
        <w:rPr>
          <w:rFonts w:ascii="Times New Roman" w:hAnsi="Times New Roman"/>
          <w:color w:val="1f1f1f"/>
          <w:sz w:val="20"/>
        </w:rPr>
        <w:t xml:space="preserve"> insurers did not have duty to defend insured across all direct-exposure claims in MDL based on one claim that was covered;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12083311327_1">
        <w:r>
          <w:rPr>
            <w:rFonts w:ascii="Times New Roman" w:hAnsi="Times New Roman"/>
            <w:color w:val="006fc4"/>
            <w:sz w:val="20"/>
            <w:vertAlign w:val="superscript"/>
          </w:rPr>
          <w:t>[2]</w:t>
        </w:r>
      </w:hyperlink>
      <w:r>
        <w:rPr>
          <w:rFonts w:ascii="Times New Roman" w:hAnsi="Times New Roman"/>
          <w:color w:val="1f1f1f"/>
          <w:sz w:val="20"/>
        </w:rPr>
        <w:t xml:space="preserve"> pollution exclusion did not apply to underlying actions brought by current or retired firefighters;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62083311327_1">
        <w:r>
          <w:rPr>
            <w:rFonts w:ascii="Times New Roman" w:hAnsi="Times New Roman"/>
            <w:color w:val="006fc4"/>
            <w:sz w:val="20"/>
            <w:vertAlign w:val="superscript"/>
          </w:rPr>
          <w:t>[3]</w:t>
        </w:r>
      </w:hyperlink>
      <w:r>
        <w:rPr>
          <w:rFonts w:ascii="Times New Roman" w:hAnsi="Times New Roman"/>
          <w:color w:val="1f1f1f"/>
          <w:sz w:val="20"/>
        </w:rPr>
        <w:t xml:space="preserve"> underlying action, alleging that insured breached duty of care in design, manufacturing, and distribution of its products and that it should have realized risks posed by its conduct, sufficiently alleged bodily injury or property damage caused by occurrence;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92083311327_1">
        <w:r>
          <w:rPr>
            <w:rFonts w:ascii="Times New Roman" w:hAnsi="Times New Roman"/>
            <w:color w:val="006fc4"/>
            <w:sz w:val="20"/>
            <w:vertAlign w:val="superscript"/>
          </w:rPr>
          <w:t>[4]</w:t>
        </w:r>
      </w:hyperlink>
      <w:r>
        <w:rPr>
          <w:rFonts w:ascii="Times New Roman" w:hAnsi="Times New Roman"/>
          <w:color w:val="1f1f1f"/>
          <w:sz w:val="20"/>
        </w:rPr>
        <w:t xml:space="preserve"> insured was not entitled to additional discovery before court ruled on insurers' motion for summary judgment;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212083311327_1">
        <w:r>
          <w:rPr>
            <w:rFonts w:ascii="Times New Roman" w:hAnsi="Times New Roman"/>
            <w:color w:val="006fc4"/>
            <w:sz w:val="20"/>
            <w:vertAlign w:val="superscript"/>
          </w:rPr>
          <w:t>[5]</w:t>
        </w:r>
      </w:hyperlink>
      <w:r>
        <w:rPr>
          <w:rFonts w:ascii="Times New Roman" w:hAnsi="Times New Roman"/>
          <w:color w:val="1f1f1f"/>
          <w:sz w:val="20"/>
        </w:rPr>
        <w:t xml:space="preserve"> complaints in underlying action, alleging widespread contamination of water systems and water shed with chemicals, alleged environmental pollution, as required for pollution exclusion to apply to them; and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222083311327_1">
        <w:r>
          <w:rPr>
            <w:rFonts w:ascii="Times New Roman" w:hAnsi="Times New Roman"/>
            <w:color w:val="006fc4"/>
            <w:sz w:val="20"/>
            <w:vertAlign w:val="superscript"/>
          </w:rPr>
          <w:t>[6]</w:t>
        </w:r>
      </w:hyperlink>
      <w:r>
        <w:rPr>
          <w:rFonts w:ascii="Times New Roman" w:hAnsi="Times New Roman"/>
          <w:color w:val="1f1f1f"/>
          <w:sz w:val="20"/>
        </w:rPr>
        <w:t xml:space="preserve"> pollution exclusion served its notice function for that type of alleged harm, and therefore it was not ambiguous.</w:t>
      </w:r>
    </w:p>
    <w:p>
      <w:pPr>
        <w:spacing w:before="0" w:after="0" w:line="275" w:lineRule="atLeast"/>
        <w:jc w:val="both"/>
      </w:pPr>
      <w:r>
        <w:rPr>
          <w:rFonts w:ascii="Times New Roman" w:hAnsi="Times New Roman"/>
          <w:color w:val="1f1f1f"/>
          <w:sz w:val="20"/>
        </w:rPr>
        <w:t> </w:t>
      </w:r>
    </w:p>
    <w:p>
      <w:pPr>
        <w:spacing w:before="200" w:after="0" w:line="275" w:lineRule="atLeast"/>
        <w:jc w:val="both"/>
      </w:pPr>
      <w:r>
        <w:rPr>
          <w:rFonts w:ascii="Times New Roman" w:hAnsi="Times New Roman"/>
          <w:color w:val="1f1f1f"/>
          <w:sz w:val="20"/>
        </w:rPr>
        <w:t>Motion granted in part and denied in part.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b/>
          <w:color w:val="1f1f1f"/>
          <w:sz w:val="20"/>
        </w:rPr>
        <w:t>Procedural Posture(s):</w:t>
      </w:r>
      <w:r>
        <w:rPr>
          <w:rFonts w:ascii="Times New Roman" w:hAnsi="Times New Roman"/>
          <w:color w:val="1f1f1f"/>
          <w:sz w:val="20"/>
        </w:rPr>
        <w:t xml:space="preserve"> Motion for Summary Judgment.</w:t>
      </w:r>
    </w:p>
    <w:bookmarkStart w:id="3" w:name="co_headnotes_1"/>
    <w:bookmarkStart w:id="4" w:name="co_headnoteHeader_1"/>
    <w:p>
      <w:pPr>
        <w:pBdr>
          <w:left w:val="none" w:space="5"/>
        </w:pBdr>
        <w:spacing w:before="400" w:after="0" w:line="555" w:lineRule="atLeast"/>
        <w:ind w:left="100" w:right="150" w:firstLine="0"/>
        <w:jc w:val="both"/>
      </w:pPr>
      <w:r>
        <w:rPr>
          <w:rFonts w:ascii="Times New Roman" w:hAnsi="Times New Roman"/>
          <w:color w:val="252525"/>
          <w:sz w:val="20"/>
        </w:rPr>
        <w:t>West Headnotes (22)</w:t>
      </w:r>
    </w:p>
    <w:bookmarkEnd w:id="4"/>
    <w:bookmarkEnd w:id="3"/>
    <w:p>
      <w:pPr>
        <w:spacing w:before="0" w:after="0" w:line="240" w:lineRule="auto"/>
        <w:rPr>
          <w:sz w:val="20"/>
        </w:rPr>
      </w:pPr>
    </w:p>
    <w:tbl>
      <w:tblPr>
        <w:tblInd w:w="30" w:type="dxa"/>
        <w:tblLayout w:type="fixed"/>
      </w:tblPr>
      <w:tblGrid>
        <w:gridCol w:w="600"/>
        <w:gridCol w:w="4035"/>
      </w:tblGrid>
      <w:bookmarkStart w:id="5" w:name="co_expandedHeadnotes_1"/>
      <w:bookmarkStart w:id="6" w:name="co_anchor_2083311327001_1"/>
      <w:bookmarkStart w:id="7" w:name="Athens_headnoteCell_F12083311327_1"/>
      <w:bookmarkStart w:id="8" w:name="co_headnotesTable_1"/>
      <w:tr>
        <w:tblPrEx/>
        <w:trPr/>
        <w:tc>
          <w:tcPr>
            <w:tcMar>
              <w:left w:w="30" w:type="dxa"/>
              <w:right w:w="30" w:type="dxa"/>
            </w:tcMar>
            <w:vAlign w:val="top"/>
          </w:tcPr>
          <w:p>
            <w:pPr>
              <w:spacing w:before="0" w:after="0" w:line="275" w:lineRule="atLeast"/>
            </w:pPr>
            <w:bookmarkStart w:id="9" w:name="co_anchor_F12083311327_1"/>
            <w:bookmarkStart w:id="10" w:name="co_anchor_headNote_[1]_1"/>
            <w:hyperlink w:anchor="co_pp_HNF1_1">
              <w:r>
                <w:rPr>
                  <w:rFonts w:ascii="Times New Roman" w:hAnsi="Times New Roman"/>
                  <w:b/>
                  <w:color w:val="006fc4"/>
                  <w:sz w:val="20"/>
                  <w:vertAlign w:val="superscript"/>
                </w:rPr>
                <w:t>[1]</w:t>
              </w:r>
            </w:hyperlink>
            <w:bookmarkEnd w:id="10"/>
            <w:bookmarkEnd w:id="9"/>
          </w:p>
        </w:tc>
        <w:tc>
          <w:tcPr>
            <w:tcMar>
              <w:left w:w="30" w:type="dxa"/>
              <w:right w:w="30" w:type="dxa"/>
            </w:tcMar>
            <w:vAlign w:val="top"/>
          </w:tcPr>
          <w:p>
            <w:pPr>
              <w:pBdr>
                <w:bottom w:val="none" w:space="2"/>
              </w:pBdr>
              <w:spacing w:before="0" w:after="0" w:line="275" w:lineRule="atLeast"/>
            </w:pPr>
            <w:hyperlink r:id="r9">
              <w:r>
                <w:rPr>
                  <w:rFonts w:ascii="Times New Roman" w:hAnsi="Times New Roman"/>
                  <w:b/>
                  <w:color w:val="006fc4"/>
                  <w:sz w:val="20"/>
                </w:rPr>
                <w:t>Summary Judgment</w:t>
              </w:r>
            </w:hyperlink>
            <w:r>
              <w:rPr>
                <w:rFonts w:ascii="Times New Roman" w:hAnsi="Times New Roman"/>
                <w:color w:val="1f1f1f"/>
                <w:sz w:val="20"/>
              </w:rPr>
              <w:drawing>
                <wp:inline>
                  <wp:extent cx="133350" cy="76200"/>
                  <wp:docPr id="1" name="Picture 1" descr="Display Key Number Topics"/>
                  <a:graphic>
                    <a:graphicData uri="http://schemas.openxmlformats.org/drawingml/2006/picture">
                      <p:pic>
                        <p:nvPicPr>
                          <p:cNvPr id="2" name="Picture 1" descr="Display Key Number Topics"/>
                          <p:cNvPicPr/>
                        </p:nvPicPr>
                        <p:blipFill>
                          <a:blip r:embed="r12"/>
                          <a:srcRect/>
                          <a:stretch>
                            <a:fillRect/>
                          </a:stretch>
                        </p:blipFill>
                        <p:spPr>
                          <a:xfrm>
                            <a:off x="0" y="0"/>
                            <a:ext cx="133350" cy="76200"/>
                          </a:xfrm>
                          <a:prstGeom prst="rect"/>
                        </p:spPr>
                      </p:pic>
                    </a:graphicData>
                  </a:graphic>
                </wp:inline>
              </w:drawing>
            </w:r>
            <w:hyperlink r:id="r10">
              <w:r>
                <w:rPr>
                  <w:rFonts w:ascii="Times New Roman" w:hAnsi="Times New Roman"/>
                  <w:color w:val="006fc4"/>
                  <w:sz w:val="20"/>
                </w:rPr>
                <w:t>What Constitutes "Material" Fact</w:t>
              </w:r>
            </w:hyperlink>
          </w:p>
        </w:tc>
      </w:tr>
      <w:bookmarkEnd w:id="8"/>
      <w:bookmarkEnd w:id="7"/>
      <w:bookmarkEnd w:id="6"/>
      <w:bookmarkEnd w:id="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On a motion for summary judgment, “material facts” are those that may affect the outcome of the case. </w:t>
            </w:r>
            <w:hyperlink r:id="r11">
              <w:r>
                <w:rPr>
                  <w:rFonts w:ascii="Times New Roman" w:hAnsi="Times New Roman"/>
                  <w:color w:val="006fc4"/>
                  <w:sz w:val="20"/>
                </w:rPr>
                <w:t>Fed. R. Civ. P. 56(a)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11" w:name="co_headnoteId_2083311327001202503111547"/>
      <w:bookmarkStart w:id="12" w:name="co_anchor_2083311327002_1"/>
      <w:bookmarkStart w:id="13" w:name="Athens_headnoteCell_F22083311327_1"/>
      <w:bookmarkStart w:id="14" w:name="co_headnotesTable_0_1"/>
      <w:tr>
        <w:tblPrEx/>
        <w:trPr/>
        <w:tc>
          <w:tcPr>
            <w:tcMar>
              <w:left w:w="30" w:type="dxa"/>
              <w:right w:w="30" w:type="dxa"/>
            </w:tcMar>
            <w:vAlign w:val="top"/>
          </w:tcPr>
          <w:p>
            <w:pPr>
              <w:spacing w:before="0" w:after="0" w:line="275" w:lineRule="atLeast"/>
            </w:pPr>
            <w:bookmarkStart w:id="15" w:name="co_anchor_F22083311327_1"/>
            <w:bookmarkStart w:id="16" w:name="co_anchor_headNote_[2]_1"/>
            <w:hyperlink w:anchor="co_pp_HNF2_1">
              <w:r>
                <w:rPr>
                  <w:rFonts w:ascii="Times New Roman" w:hAnsi="Times New Roman"/>
                  <w:b/>
                  <w:color w:val="006fc4"/>
                  <w:sz w:val="20"/>
                  <w:vertAlign w:val="superscript"/>
                </w:rPr>
                <w:t>[2]</w:t>
              </w:r>
            </w:hyperlink>
            <w:bookmarkEnd w:id="16"/>
            <w:bookmarkEnd w:id="15"/>
          </w:p>
        </w:tc>
        <w:tc>
          <w:tcPr>
            <w:tcMar>
              <w:left w:w="30" w:type="dxa"/>
              <w:right w:w="30" w:type="dxa"/>
            </w:tcMar>
            <w:vAlign w:val="top"/>
          </w:tcPr>
          <w:p>
            <w:pPr>
              <w:pBdr>
                <w:bottom w:val="none" w:space="2"/>
              </w:pBdr>
              <w:spacing w:before="0" w:after="0" w:line="275" w:lineRule="atLeast"/>
            </w:pPr>
            <w:hyperlink r:id="r13">
              <w:r>
                <w:rPr>
                  <w:rFonts w:ascii="Times New Roman" w:hAnsi="Times New Roman"/>
                  <w:b/>
                  <w:color w:val="006fc4"/>
                  <w:sz w:val="20"/>
                </w:rPr>
                <w:t>Summary Judgment</w:t>
              </w:r>
            </w:hyperlink>
            <w:r>
              <w:rPr>
                <w:rFonts w:ascii="Times New Roman" w:hAnsi="Times New Roman"/>
                <w:color w:val="1f1f1f"/>
                <w:sz w:val="20"/>
              </w:rPr>
              <w:drawing>
                <wp:inline>
                  <wp:extent cx="133350" cy="76200"/>
                  <wp:docPr id="3" name="Picture 1" descr="Display Key Number Topics"/>
                  <a:graphic>
                    <a:graphicData uri="http://schemas.openxmlformats.org/drawingml/2006/picture">
                      <p:pic>
                        <p:nvPicPr>
                          <p:cNvPr id="4" name="Picture 1" descr="Display Key Number Topics"/>
                          <p:cNvPicPr/>
                        </p:nvPicPr>
                        <p:blipFill>
                          <a:blip r:embed="r12"/>
                          <a:srcRect/>
                          <a:stretch>
                            <a:fillRect/>
                          </a:stretch>
                        </p:blipFill>
                        <p:spPr>
                          <a:xfrm>
                            <a:off x="0" y="0"/>
                            <a:ext cx="133350" cy="76200"/>
                          </a:xfrm>
                          <a:prstGeom prst="rect"/>
                        </p:spPr>
                      </p:pic>
                    </a:graphicData>
                  </a:graphic>
                </wp:inline>
              </w:drawing>
            </w:r>
            <w:hyperlink r:id="r14">
              <w:r>
                <w:rPr>
                  <w:rFonts w:ascii="Times New Roman" w:hAnsi="Times New Roman"/>
                  <w:color w:val="006fc4"/>
                  <w:sz w:val="20"/>
                </w:rPr>
                <w:t>What constitutes "genuine" issue or dispute</w:t>
              </w:r>
            </w:hyperlink>
          </w:p>
        </w:tc>
      </w:tr>
      <w:bookmarkEnd w:id="14"/>
      <w:bookmarkEnd w:id="13"/>
      <w:bookmarkEnd w:id="12"/>
      <w:bookmarkEnd w:id="1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On a motion for summary judgment, a dispute about a material fact is “genuine” if there is sufficient evidence for a reasonable jury to return a verdict for the nonmoving party. </w:t>
            </w:r>
            <w:hyperlink r:id="r15">
              <w:r>
                <w:rPr>
                  <w:rFonts w:ascii="Times New Roman" w:hAnsi="Times New Roman"/>
                  <w:color w:val="006fc4"/>
                  <w:sz w:val="20"/>
                </w:rPr>
                <w:t>Fed. R. Civ. P. 56(a)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17" w:name="co_headnoteId_2083311327002202503111547"/>
      <w:bookmarkStart w:id="18" w:name="co_anchor_2083311327003_1"/>
      <w:bookmarkStart w:id="19" w:name="Athens_headnoteCell_F32083311327_1"/>
      <w:bookmarkStart w:id="20" w:name="co_headnotesTable_1_1"/>
      <w:tr>
        <w:tblPrEx/>
        <w:trPr/>
        <w:tc>
          <w:tcPr>
            <w:tcMar>
              <w:left w:w="30" w:type="dxa"/>
              <w:right w:w="30" w:type="dxa"/>
            </w:tcMar>
            <w:vAlign w:val="top"/>
          </w:tcPr>
          <w:p>
            <w:pPr>
              <w:spacing w:before="0" w:after="0" w:line="275" w:lineRule="atLeast"/>
            </w:pPr>
            <w:bookmarkStart w:id="21" w:name="co_anchor_F32083311327_1"/>
            <w:bookmarkStart w:id="22" w:name="co_anchor_headNote_[3]_1"/>
            <w:hyperlink w:anchor="co_pp_HNF3_1">
              <w:r>
                <w:rPr>
                  <w:rFonts w:ascii="Times New Roman" w:hAnsi="Times New Roman"/>
                  <w:b/>
                  <w:color w:val="006fc4"/>
                  <w:sz w:val="20"/>
                  <w:vertAlign w:val="superscript"/>
                </w:rPr>
                <w:t>[3]</w:t>
              </w:r>
            </w:hyperlink>
            <w:bookmarkEnd w:id="22"/>
            <w:bookmarkEnd w:id="21"/>
          </w:p>
        </w:tc>
        <w:tc>
          <w:tcPr>
            <w:tcMar>
              <w:left w:w="30" w:type="dxa"/>
              <w:right w:w="30" w:type="dxa"/>
            </w:tcMar>
            <w:vAlign w:val="top"/>
          </w:tcPr>
          <w:p>
            <w:pPr>
              <w:pBdr>
                <w:bottom w:val="none" w:space="2"/>
              </w:pBdr>
              <w:spacing w:before="0" w:after="0" w:line="275" w:lineRule="atLeast"/>
            </w:pPr>
            <w:hyperlink r:id="r16">
              <w:r>
                <w:rPr>
                  <w:rFonts w:ascii="Times New Roman" w:hAnsi="Times New Roman"/>
                  <w:b/>
                  <w:color w:val="006fc4"/>
                  <w:sz w:val="20"/>
                </w:rPr>
                <w:t>Insurance</w:t>
              </w:r>
            </w:hyperlink>
            <w:r>
              <w:rPr>
                <w:rFonts w:ascii="Times New Roman" w:hAnsi="Times New Roman"/>
                <w:color w:val="1f1f1f"/>
                <w:sz w:val="20"/>
              </w:rPr>
              <w:drawing>
                <wp:inline>
                  <wp:extent cx="133350" cy="76200"/>
                  <wp:docPr id="5" name="Picture 1" descr="Display Key Number Topics"/>
                  <a:graphic>
                    <a:graphicData uri="http://schemas.openxmlformats.org/drawingml/2006/picture">
                      <p:pic>
                        <p:nvPicPr>
                          <p:cNvPr id="6" name="Picture 1" descr="Display Key Number Topics"/>
                          <p:cNvPicPr/>
                        </p:nvPicPr>
                        <p:blipFill>
                          <a:blip r:embed="r12"/>
                          <a:srcRect/>
                          <a:stretch>
                            <a:fillRect/>
                          </a:stretch>
                        </p:blipFill>
                        <p:spPr>
                          <a:xfrm>
                            <a:off x="0" y="0"/>
                            <a:ext cx="133350" cy="76200"/>
                          </a:xfrm>
                          <a:prstGeom prst="rect"/>
                        </p:spPr>
                      </p:pic>
                    </a:graphicData>
                  </a:graphic>
                </wp:inline>
              </w:drawing>
            </w:r>
            <w:hyperlink r:id="r17">
              <w:r>
                <w:rPr>
                  <w:rFonts w:ascii="Times New Roman" w:hAnsi="Times New Roman"/>
                  <w:color w:val="006fc4"/>
                  <w:sz w:val="20"/>
                </w:rPr>
                <w:t>Application of rules of contract construction</w:t>
              </w:r>
            </w:hyperlink>
          </w:p>
          <w:p>
            <w:pPr>
              <w:pBdr>
                <w:bottom w:val="none" w:space="2"/>
              </w:pBdr>
              <w:spacing w:before="0" w:after="0" w:line="275" w:lineRule="atLeast"/>
            </w:pPr>
            <w:hyperlink r:id="r18">
              <w:r>
                <w:rPr>
                  <w:rFonts w:ascii="Times New Roman" w:hAnsi="Times New Roman"/>
                  <w:b/>
                  <w:color w:val="006fc4"/>
                  <w:sz w:val="20"/>
                </w:rPr>
                <w:t>Insurance</w:t>
              </w:r>
            </w:hyperlink>
            <w:r>
              <w:rPr>
                <w:rFonts w:ascii="Times New Roman" w:hAnsi="Times New Roman"/>
                <w:color w:val="1f1f1f"/>
                <w:sz w:val="20"/>
              </w:rPr>
              <w:drawing>
                <wp:inline>
                  <wp:extent cx="133350" cy="76200"/>
                  <wp:docPr id="7" name="Picture 1" descr="Display Key Number Topics"/>
                  <a:graphic>
                    <a:graphicData uri="http://schemas.openxmlformats.org/drawingml/2006/picture">
                      <p:pic>
                        <p:nvPicPr>
                          <p:cNvPr id="8" name="Picture 1" descr="Display Key Number Topics"/>
                          <p:cNvPicPr/>
                        </p:nvPicPr>
                        <p:blipFill>
                          <a:blip r:embed="r12"/>
                          <a:srcRect/>
                          <a:stretch>
                            <a:fillRect/>
                          </a:stretch>
                        </p:blipFill>
                        <p:spPr>
                          <a:xfrm>
                            <a:off x="0" y="0"/>
                            <a:ext cx="133350" cy="76200"/>
                          </a:xfrm>
                          <a:prstGeom prst="rect"/>
                        </p:spPr>
                      </p:pic>
                    </a:graphicData>
                  </a:graphic>
                </wp:inline>
              </w:drawing>
            </w:r>
            <w:hyperlink r:id="r19">
              <w:r>
                <w:rPr>
                  <w:rFonts w:ascii="Times New Roman" w:hAnsi="Times New Roman"/>
                  <w:color w:val="006fc4"/>
                  <w:sz w:val="20"/>
                </w:rPr>
                <w:t>Questions of law or fact</w:t>
              </w:r>
            </w:hyperlink>
          </w:p>
        </w:tc>
      </w:tr>
      <w:bookmarkEnd w:id="20"/>
      <w:bookmarkEnd w:id="19"/>
      <w:bookmarkEnd w:id="18"/>
      <w:bookmarkEnd w:id="1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interpretation of insurance policy is question of law and follows general rules of contract interpretation.</w:t>
            </w:r>
          </w:p>
        </w:tc>
      </w:tr>
    </w:tbl>
    <w:p>
      <w:pPr>
        <w:spacing w:before="0" w:after="0" w:line="240" w:lineRule="auto"/>
        <w:rPr>
          <w:sz w:val="20"/>
        </w:rPr>
      </w:pPr>
    </w:p>
    <w:tbl>
      <w:tblPr>
        <w:tblInd w:w="30" w:type="dxa"/>
        <w:tblLayout w:type="fixed"/>
      </w:tblPr>
      <w:tblGrid>
        <w:gridCol w:w="600"/>
        <w:gridCol w:w="4035"/>
      </w:tblGrid>
      <w:bookmarkStart w:id="23" w:name="co_headnoteId_2083311327003202503111547"/>
      <w:bookmarkStart w:id="24" w:name="co_anchor_2083311327005_1"/>
      <w:bookmarkStart w:id="25" w:name="Athens_headnoteCell_F42083311327_1"/>
      <w:bookmarkStart w:id="26" w:name="co_headnotesTable_2_1"/>
      <w:tr>
        <w:tblPrEx/>
        <w:trPr/>
        <w:tc>
          <w:tcPr>
            <w:tcMar>
              <w:left w:w="30" w:type="dxa"/>
              <w:right w:w="30" w:type="dxa"/>
            </w:tcMar>
            <w:vAlign w:val="top"/>
          </w:tcPr>
          <w:p>
            <w:pPr>
              <w:spacing w:before="0" w:after="0" w:line="275" w:lineRule="atLeast"/>
            </w:pPr>
            <w:bookmarkStart w:id="27" w:name="co_anchor_F42083311327_1"/>
            <w:bookmarkStart w:id="28" w:name="co_anchor_headNote_[4]_1"/>
            <w:hyperlink w:anchor="co_pp_HNF4_1">
              <w:r>
                <w:rPr>
                  <w:rFonts w:ascii="Times New Roman" w:hAnsi="Times New Roman"/>
                  <w:b/>
                  <w:color w:val="006fc4"/>
                  <w:sz w:val="20"/>
                  <w:vertAlign w:val="superscript"/>
                </w:rPr>
                <w:t>[4]</w:t>
              </w:r>
            </w:hyperlink>
            <w:bookmarkEnd w:id="28"/>
            <w:bookmarkEnd w:id="27"/>
          </w:p>
        </w:tc>
        <w:tc>
          <w:tcPr>
            <w:tcMar>
              <w:left w:w="30" w:type="dxa"/>
              <w:right w:w="30" w:type="dxa"/>
            </w:tcMar>
            <w:vAlign w:val="top"/>
          </w:tcPr>
          <w:p>
            <w:pPr>
              <w:pBdr>
                <w:bottom w:val="none" w:space="2"/>
              </w:pBdr>
              <w:spacing w:before="0" w:after="0" w:line="275" w:lineRule="atLeast"/>
            </w:pPr>
            <w:hyperlink r:id="r20">
              <w:r>
                <w:rPr>
                  <w:rFonts w:ascii="Times New Roman" w:hAnsi="Times New Roman"/>
                  <w:b/>
                  <w:color w:val="006fc4"/>
                  <w:sz w:val="20"/>
                </w:rPr>
                <w:t>Insurance</w:t>
              </w:r>
            </w:hyperlink>
            <w:r>
              <w:rPr>
                <w:rFonts w:ascii="Times New Roman" w:hAnsi="Times New Roman"/>
                <w:color w:val="1f1f1f"/>
                <w:sz w:val="20"/>
              </w:rPr>
              <w:drawing>
                <wp:inline>
                  <wp:extent cx="133350" cy="76200"/>
                  <wp:docPr id="9" name="Picture 1" descr="Display Key Number Topics"/>
                  <a:graphic>
                    <a:graphicData uri="http://schemas.openxmlformats.org/drawingml/2006/picture">
                      <p:pic>
                        <p:nvPicPr>
                          <p:cNvPr id="10" name="Picture 1" descr="Display Key Number Topics"/>
                          <p:cNvPicPr/>
                        </p:nvPicPr>
                        <p:blipFill>
                          <a:blip r:embed="r12"/>
                          <a:srcRect/>
                          <a:stretch>
                            <a:fillRect/>
                          </a:stretch>
                        </p:blipFill>
                        <p:spPr>
                          <a:xfrm>
                            <a:off x="0" y="0"/>
                            <a:ext cx="133350" cy="76200"/>
                          </a:xfrm>
                          <a:prstGeom prst="rect"/>
                        </p:spPr>
                      </p:pic>
                    </a:graphicData>
                  </a:graphic>
                </wp:inline>
              </w:drawing>
            </w:r>
            <w:hyperlink r:id="r21">
              <w:r>
                <w:rPr>
                  <w:rFonts w:ascii="Times New Roman" w:hAnsi="Times New Roman"/>
                  <w:color w:val="006fc4"/>
                  <w:sz w:val="20"/>
                </w:rPr>
                <w:t>In general;  standard</w:t>
              </w:r>
            </w:hyperlink>
          </w:p>
        </w:tc>
      </w:tr>
      <w:bookmarkEnd w:id="26"/>
      <w:bookmarkEnd w:id="25"/>
      <w:bookmarkEnd w:id="24"/>
      <w:bookmarkEnd w:id="2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potential of indemnity triggers insurer's duty to defend.</w:t>
            </w:r>
          </w:p>
        </w:tc>
      </w:tr>
    </w:tbl>
    <w:p>
      <w:pPr>
        <w:spacing w:before="0" w:after="0" w:line="240" w:lineRule="auto"/>
        <w:rPr>
          <w:sz w:val="20"/>
        </w:rPr>
      </w:pPr>
    </w:p>
    <w:tbl>
      <w:tblPr>
        <w:tblInd w:w="30" w:type="dxa"/>
        <w:tblLayout w:type="fixed"/>
      </w:tblPr>
      <w:tblGrid>
        <w:gridCol w:w="600"/>
        <w:gridCol w:w="4035"/>
      </w:tblGrid>
      <w:bookmarkStart w:id="29" w:name="co_headnoteId_2083311327005202503111547"/>
      <w:bookmarkStart w:id="30" w:name="co_anchor_2083311327006_1"/>
      <w:bookmarkStart w:id="31" w:name="Athens_headnoteCell_F52083311327_1"/>
      <w:bookmarkStart w:id="32" w:name="co_headnotesTable_3_1"/>
      <w:tr>
        <w:tblPrEx/>
        <w:trPr/>
        <w:tc>
          <w:tcPr>
            <w:tcMar>
              <w:left w:w="30" w:type="dxa"/>
              <w:right w:w="30" w:type="dxa"/>
            </w:tcMar>
            <w:vAlign w:val="top"/>
          </w:tcPr>
          <w:p>
            <w:pPr>
              <w:spacing w:before="0" w:after="0" w:line="275" w:lineRule="atLeast"/>
            </w:pPr>
            <w:bookmarkStart w:id="33" w:name="co_anchor_F52083311327_1"/>
            <w:bookmarkStart w:id="34" w:name="co_anchor_headNote_[5]_1"/>
            <w:hyperlink w:anchor="co_pp_HNF5_1">
              <w:r>
                <w:rPr>
                  <w:rFonts w:ascii="Times New Roman" w:hAnsi="Times New Roman"/>
                  <w:b/>
                  <w:color w:val="006fc4"/>
                  <w:sz w:val="20"/>
                  <w:vertAlign w:val="superscript"/>
                </w:rPr>
                <w:t>[5]</w:t>
              </w:r>
            </w:hyperlink>
            <w:bookmarkEnd w:id="34"/>
            <w:bookmarkEnd w:id="33"/>
          </w:p>
        </w:tc>
        <w:tc>
          <w:tcPr>
            <w:tcMar>
              <w:left w:w="30" w:type="dxa"/>
              <w:right w:w="30" w:type="dxa"/>
            </w:tcMar>
            <w:vAlign w:val="top"/>
          </w:tcPr>
          <w:p>
            <w:pPr>
              <w:pBdr>
                <w:bottom w:val="none" w:space="2"/>
              </w:pBdr>
              <w:spacing w:before="0" w:after="0" w:line="275" w:lineRule="atLeast"/>
            </w:pPr>
            <w:hyperlink r:id="r22">
              <w:r>
                <w:rPr>
                  <w:rFonts w:ascii="Times New Roman" w:hAnsi="Times New Roman"/>
                  <w:b/>
                  <w:color w:val="006fc4"/>
                  <w:sz w:val="20"/>
                </w:rPr>
                <w:t>Insurance</w:t>
              </w:r>
            </w:hyperlink>
            <w:r>
              <w:rPr>
                <w:rFonts w:ascii="Times New Roman" w:hAnsi="Times New Roman"/>
                <w:color w:val="1f1f1f"/>
                <w:sz w:val="20"/>
              </w:rPr>
              <w:drawing>
                <wp:inline>
                  <wp:extent cx="133350" cy="76200"/>
                  <wp:docPr id="11" name="Picture 1" descr="Display Key Number Topics"/>
                  <a:graphic>
                    <a:graphicData uri="http://schemas.openxmlformats.org/drawingml/2006/picture">
                      <p:pic>
                        <p:nvPicPr>
                          <p:cNvPr id="12" name="Picture 1" descr="Display Key Number Topics"/>
                          <p:cNvPicPr/>
                        </p:nvPicPr>
                        <p:blipFill>
                          <a:blip r:embed="r12"/>
                          <a:srcRect/>
                          <a:stretch>
                            <a:fillRect/>
                          </a:stretch>
                        </p:blipFill>
                        <p:spPr>
                          <a:xfrm>
                            <a:off x="0" y="0"/>
                            <a:ext cx="133350" cy="76200"/>
                          </a:xfrm>
                          <a:prstGeom prst="rect"/>
                        </p:spPr>
                      </p:pic>
                    </a:graphicData>
                  </a:graphic>
                </wp:inline>
              </w:drawing>
            </w:r>
            <w:hyperlink r:id="r23">
              <w:r>
                <w:rPr>
                  <w:rFonts w:ascii="Times New Roman" w:hAnsi="Times New Roman"/>
                  <w:color w:val="006fc4"/>
                  <w:sz w:val="20"/>
                </w:rPr>
                <w:t>Pleadings</w:t>
              </w:r>
            </w:hyperlink>
          </w:p>
        </w:tc>
      </w:tr>
      <w:bookmarkEnd w:id="32"/>
      <w:bookmarkEnd w:id="31"/>
      <w:bookmarkEnd w:id="30"/>
      <w:bookmarkEnd w:id="2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a court considering whether an insurer has a duty to defend its insured compares the allegations of the complaint with the terms of the policy.</w:t>
            </w:r>
          </w:p>
        </w:tc>
      </w:tr>
    </w:tbl>
    <w:p>
      <w:pPr>
        <w:spacing w:before="0" w:after="0" w:line="240" w:lineRule="auto"/>
        <w:rPr>
          <w:sz w:val="20"/>
        </w:rPr>
      </w:pPr>
    </w:p>
    <w:tbl>
      <w:tblPr>
        <w:tblInd w:w="30" w:type="dxa"/>
        <w:tblLayout w:type="fixed"/>
      </w:tblPr>
      <w:tblGrid>
        <w:gridCol w:w="600"/>
        <w:gridCol w:w="4035"/>
      </w:tblGrid>
      <w:bookmarkStart w:id="35" w:name="co_headnoteId_2083311327006202503111547"/>
      <w:bookmarkStart w:id="36" w:name="co_anchor_2083311327007_1"/>
      <w:bookmarkStart w:id="37" w:name="Athens_headnoteCell_F62083311327_1"/>
      <w:bookmarkStart w:id="38" w:name="co_headnotesTable_4_1"/>
      <w:tr>
        <w:tblPrEx/>
        <w:trPr/>
        <w:tc>
          <w:tcPr>
            <w:tcMar>
              <w:left w:w="30" w:type="dxa"/>
              <w:right w:w="30" w:type="dxa"/>
            </w:tcMar>
            <w:vAlign w:val="top"/>
          </w:tcPr>
          <w:p>
            <w:pPr>
              <w:spacing w:before="0" w:after="0" w:line="275" w:lineRule="atLeast"/>
            </w:pPr>
            <w:bookmarkStart w:id="39" w:name="co_anchor_F62083311327_1"/>
            <w:bookmarkStart w:id="40" w:name="co_anchor_headNote_[6]_1"/>
            <w:hyperlink w:anchor="co_pp_HNF6_1">
              <w:r>
                <w:rPr>
                  <w:rFonts w:ascii="Times New Roman" w:hAnsi="Times New Roman"/>
                  <w:b/>
                  <w:color w:val="006fc4"/>
                  <w:sz w:val="20"/>
                  <w:vertAlign w:val="superscript"/>
                </w:rPr>
                <w:t>[6]</w:t>
              </w:r>
            </w:hyperlink>
            <w:bookmarkEnd w:id="40"/>
            <w:bookmarkEnd w:id="39"/>
          </w:p>
        </w:tc>
        <w:tc>
          <w:tcPr>
            <w:tcMar>
              <w:left w:w="30" w:type="dxa"/>
              <w:right w:w="30" w:type="dxa"/>
            </w:tcMar>
            <w:vAlign w:val="top"/>
          </w:tcPr>
          <w:p>
            <w:pPr>
              <w:pBdr>
                <w:bottom w:val="none" w:space="2"/>
              </w:pBdr>
              <w:spacing w:before="0" w:after="0" w:line="275" w:lineRule="atLeast"/>
            </w:pPr>
            <w:hyperlink r:id="r24">
              <w:r>
                <w:rPr>
                  <w:rFonts w:ascii="Times New Roman" w:hAnsi="Times New Roman"/>
                  <w:b/>
                  <w:color w:val="006fc4"/>
                  <w:sz w:val="20"/>
                </w:rPr>
                <w:t>Insurance</w:t>
              </w:r>
            </w:hyperlink>
            <w:r>
              <w:rPr>
                <w:rFonts w:ascii="Times New Roman" w:hAnsi="Times New Roman"/>
                <w:color w:val="1f1f1f"/>
                <w:sz w:val="20"/>
              </w:rPr>
              <w:drawing>
                <wp:inline>
                  <wp:extent cx="133350" cy="76200"/>
                  <wp:docPr id="13" name="Picture 1" descr="Display Key Number Topics"/>
                  <a:graphic>
                    <a:graphicData uri="http://schemas.openxmlformats.org/drawingml/2006/picture">
                      <p:pic>
                        <p:nvPicPr>
                          <p:cNvPr id="14" name="Picture 1" descr="Display Key Number Topics"/>
                          <p:cNvPicPr/>
                        </p:nvPicPr>
                        <p:blipFill>
                          <a:blip r:embed="r12"/>
                          <a:srcRect/>
                          <a:stretch>
                            <a:fillRect/>
                          </a:stretch>
                        </p:blipFill>
                        <p:spPr>
                          <a:xfrm>
                            <a:off x="0" y="0"/>
                            <a:ext cx="133350" cy="76200"/>
                          </a:xfrm>
                          <a:prstGeom prst="rect"/>
                        </p:spPr>
                      </p:pic>
                    </a:graphicData>
                  </a:graphic>
                </wp:inline>
              </w:drawing>
            </w:r>
            <w:hyperlink r:id="r25">
              <w:r>
                <w:rPr>
                  <w:rFonts w:ascii="Times New Roman" w:hAnsi="Times New Roman"/>
                  <w:color w:val="006fc4"/>
                  <w:sz w:val="20"/>
                </w:rPr>
                <w:t>Particular Portions or Provisions of Policies</w:t>
              </w:r>
            </w:hyperlink>
          </w:p>
        </w:tc>
      </w:tr>
      <w:bookmarkEnd w:id="38"/>
      <w:bookmarkEnd w:id="37"/>
      <w:bookmarkEnd w:id="36"/>
      <w:bookmarkEnd w:id="3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insurance coverage is construed broadly in favor of insured.</w:t>
            </w:r>
          </w:p>
        </w:tc>
      </w:tr>
    </w:tbl>
    <w:p>
      <w:pPr>
        <w:spacing w:before="0" w:after="0" w:line="240" w:lineRule="auto"/>
        <w:rPr>
          <w:sz w:val="20"/>
        </w:rPr>
      </w:pPr>
    </w:p>
    <w:tbl>
      <w:tblPr>
        <w:tblInd w:w="30" w:type="dxa"/>
        <w:tblLayout w:type="fixed"/>
      </w:tblPr>
      <w:tblGrid>
        <w:gridCol w:w="600"/>
        <w:gridCol w:w="4035"/>
      </w:tblGrid>
      <w:bookmarkStart w:id="41" w:name="co_headnoteId_2083311327007202503111547"/>
      <w:bookmarkStart w:id="42" w:name="co_anchor_2083311327008_1"/>
      <w:bookmarkStart w:id="43" w:name="Athens_headnoteCell_F72083311327_1"/>
      <w:bookmarkStart w:id="44" w:name="co_headnotesTable_5_1"/>
      <w:tr>
        <w:tblPrEx/>
        <w:trPr/>
        <w:tc>
          <w:tcPr>
            <w:tcMar>
              <w:left w:w="30" w:type="dxa"/>
              <w:right w:w="30" w:type="dxa"/>
            </w:tcMar>
            <w:vAlign w:val="top"/>
          </w:tcPr>
          <w:p>
            <w:pPr>
              <w:spacing w:before="0" w:after="0" w:line="275" w:lineRule="atLeast"/>
            </w:pPr>
            <w:bookmarkStart w:id="45" w:name="co_anchor_F72083311327_1"/>
            <w:bookmarkStart w:id="46" w:name="co_anchor_headNote_[7]_1"/>
            <w:hyperlink w:anchor="co_pp_HNF7_1">
              <w:r>
                <w:rPr>
                  <w:rFonts w:ascii="Times New Roman" w:hAnsi="Times New Roman"/>
                  <w:b/>
                  <w:color w:val="006fc4"/>
                  <w:sz w:val="20"/>
                  <w:vertAlign w:val="superscript"/>
                </w:rPr>
                <w:t>[7]</w:t>
              </w:r>
            </w:hyperlink>
            <w:bookmarkEnd w:id="46"/>
            <w:bookmarkEnd w:id="45"/>
          </w:p>
        </w:tc>
        <w:tc>
          <w:tcPr>
            <w:tcMar>
              <w:left w:w="30" w:type="dxa"/>
              <w:right w:w="30" w:type="dxa"/>
            </w:tcMar>
            <w:vAlign w:val="top"/>
          </w:tcPr>
          <w:p>
            <w:pPr>
              <w:pBdr>
                <w:bottom w:val="none" w:space="2"/>
              </w:pBdr>
              <w:spacing w:before="0" w:after="0" w:line="275" w:lineRule="atLeast"/>
            </w:pPr>
            <w:hyperlink r:id="r26">
              <w:r>
                <w:rPr>
                  <w:rFonts w:ascii="Times New Roman" w:hAnsi="Times New Roman"/>
                  <w:b/>
                  <w:color w:val="006fc4"/>
                  <w:sz w:val="20"/>
                </w:rPr>
                <w:t>Insurance</w:t>
              </w:r>
            </w:hyperlink>
            <w:r>
              <w:rPr>
                <w:rFonts w:ascii="Times New Roman" w:hAnsi="Times New Roman"/>
                <w:color w:val="1f1f1f"/>
                <w:sz w:val="20"/>
              </w:rPr>
              <w:drawing>
                <wp:inline>
                  <wp:extent cx="133350" cy="76200"/>
                  <wp:docPr id="15" name="Picture 1" descr="Display Key Number Topics"/>
                  <a:graphic>
                    <a:graphicData uri="http://schemas.openxmlformats.org/drawingml/2006/picture">
                      <p:pic>
                        <p:nvPicPr>
                          <p:cNvPr id="16" name="Picture 1" descr="Display Key Number Topics"/>
                          <p:cNvPicPr/>
                        </p:nvPicPr>
                        <p:blipFill>
                          <a:blip r:embed="r12"/>
                          <a:srcRect/>
                          <a:stretch>
                            <a:fillRect/>
                          </a:stretch>
                        </p:blipFill>
                        <p:spPr>
                          <a:xfrm>
                            <a:off x="0" y="0"/>
                            <a:ext cx="133350" cy="76200"/>
                          </a:xfrm>
                          <a:prstGeom prst="rect"/>
                        </p:spPr>
                      </p:pic>
                    </a:graphicData>
                  </a:graphic>
                </wp:inline>
              </w:drawing>
            </w:r>
            <w:hyperlink r:id="r27">
              <w:r>
                <w:rPr>
                  <w:rFonts w:ascii="Times New Roman" w:hAnsi="Times New Roman"/>
                  <w:color w:val="006fc4"/>
                  <w:sz w:val="20"/>
                </w:rPr>
                <w:t>Exclusions, exceptions or limitations</w:t>
              </w:r>
            </w:hyperlink>
          </w:p>
        </w:tc>
      </w:tr>
      <w:bookmarkEnd w:id="44"/>
      <w:bookmarkEnd w:id="43"/>
      <w:bookmarkEnd w:id="42"/>
      <w:bookmarkEnd w:id="4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exclusions to insurance coverage are interpreted narrowly against insurer.</w:t>
            </w:r>
          </w:p>
        </w:tc>
      </w:tr>
    </w:tbl>
    <w:p>
      <w:pPr>
        <w:spacing w:before="0" w:after="0" w:line="240" w:lineRule="auto"/>
        <w:rPr>
          <w:sz w:val="20"/>
        </w:rPr>
      </w:pPr>
    </w:p>
    <w:tbl>
      <w:tblPr>
        <w:tblInd w:w="30" w:type="dxa"/>
        <w:tblLayout w:type="fixed"/>
      </w:tblPr>
      <w:tblGrid>
        <w:gridCol w:w="600"/>
        <w:gridCol w:w="4035"/>
      </w:tblGrid>
      <w:bookmarkStart w:id="47" w:name="co_headnoteId_2083311327008202503111547"/>
      <w:bookmarkStart w:id="48" w:name="co_anchor_2083311327010_1"/>
      <w:bookmarkStart w:id="49" w:name="Athens_headnoteCell_F82083311327_1"/>
      <w:bookmarkStart w:id="50" w:name="co_headnotesTable_6_1"/>
      <w:tr>
        <w:tblPrEx/>
        <w:trPr/>
        <w:tc>
          <w:tcPr>
            <w:tcMar>
              <w:left w:w="30" w:type="dxa"/>
              <w:right w:w="30" w:type="dxa"/>
            </w:tcMar>
            <w:vAlign w:val="top"/>
          </w:tcPr>
          <w:p>
            <w:pPr>
              <w:spacing w:before="0" w:after="0" w:line="275" w:lineRule="atLeast"/>
            </w:pPr>
            <w:bookmarkStart w:id="51" w:name="co_anchor_F82083311327_1"/>
            <w:bookmarkStart w:id="52" w:name="co_anchor_headNote_[8]_1"/>
            <w:hyperlink w:anchor="co_pp_HNF8_1">
              <w:r>
                <w:rPr>
                  <w:rFonts w:ascii="Times New Roman" w:hAnsi="Times New Roman"/>
                  <w:b/>
                  <w:color w:val="006fc4"/>
                  <w:sz w:val="20"/>
                  <w:vertAlign w:val="superscript"/>
                </w:rPr>
                <w:t>[8]</w:t>
              </w:r>
            </w:hyperlink>
            <w:bookmarkEnd w:id="52"/>
            <w:bookmarkEnd w:id="51"/>
          </w:p>
        </w:tc>
        <w:tc>
          <w:tcPr>
            <w:tcMar>
              <w:left w:w="30" w:type="dxa"/>
              <w:right w:w="30" w:type="dxa"/>
            </w:tcMar>
            <w:vAlign w:val="top"/>
          </w:tcPr>
          <w:p>
            <w:pPr>
              <w:pBdr>
                <w:bottom w:val="none" w:space="2"/>
              </w:pBdr>
              <w:spacing w:before="0" w:after="0" w:line="275" w:lineRule="atLeast"/>
            </w:pPr>
            <w:hyperlink r:id="r28">
              <w:r>
                <w:rPr>
                  <w:rFonts w:ascii="Times New Roman" w:hAnsi="Times New Roman"/>
                  <w:b/>
                  <w:color w:val="006fc4"/>
                  <w:sz w:val="20"/>
                </w:rPr>
                <w:t>Insurance</w:t>
              </w:r>
            </w:hyperlink>
            <w:r>
              <w:rPr>
                <w:rFonts w:ascii="Times New Roman" w:hAnsi="Times New Roman"/>
                <w:color w:val="1f1f1f"/>
                <w:sz w:val="20"/>
              </w:rPr>
              <w:drawing>
                <wp:inline>
                  <wp:extent cx="133350" cy="76200"/>
                  <wp:docPr id="17" name="Picture 1" descr="Display Key Number Topics"/>
                  <a:graphic>
                    <a:graphicData uri="http://schemas.openxmlformats.org/drawingml/2006/picture">
                      <p:pic>
                        <p:nvPicPr>
                          <p:cNvPr id="18" name="Picture 1" descr="Display Key Number Topics"/>
                          <p:cNvPicPr/>
                        </p:nvPicPr>
                        <p:blipFill>
                          <a:blip r:embed="r12"/>
                          <a:srcRect/>
                          <a:stretch>
                            <a:fillRect/>
                          </a:stretch>
                        </p:blipFill>
                        <p:spPr>
                          <a:xfrm>
                            <a:off x="0" y="0"/>
                            <a:ext cx="133350" cy="76200"/>
                          </a:xfrm>
                          <a:prstGeom prst="rect"/>
                        </p:spPr>
                      </p:pic>
                    </a:graphicData>
                  </a:graphic>
                </wp:inline>
              </w:drawing>
            </w:r>
            <w:hyperlink r:id="r29">
              <w:r>
                <w:rPr>
                  <w:rFonts w:ascii="Times New Roman" w:hAnsi="Times New Roman"/>
                  <w:color w:val="006fc4"/>
                  <w:sz w:val="20"/>
                </w:rPr>
                <w:t>Several Grounds or Causes of Action</w:t>
              </w:r>
            </w:hyperlink>
          </w:p>
        </w:tc>
      </w:tr>
      <w:bookmarkEnd w:id="50"/>
      <w:bookmarkEnd w:id="49"/>
      <w:bookmarkEnd w:id="48"/>
      <w:bookmarkEnd w:id="4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Insured manufacturer did not meet its burden to establish that all 182 identified cases in entire multidistrict litigation (MDL) potentially were within basic scope of coverage under commercial general liability (CGL) insurance policies, and therefore insurers did not have duty to defend insured under California law across all direct-exposure claims based on one claim that was covered; duty to defend applied only if insured could be liable for damages due to alleged injuries, MDL court previously ruled that insured could not be liable for claims based on sales predating when it began operations, insured did not establish that all direct-exposure claims involved alleged injuries stemming from sales made after that date, and consolidation was for efficiency only and could not affect legal rights.</w:t>
            </w:r>
          </w:p>
          <w:bookmarkStart w:id="53" w:name="co_headnoteId_2083311327010202503111547"/>
          <w:p>
            <w:pPr>
              <w:spacing w:before="200" w:after="0" w:line="275" w:lineRule="atLeast"/>
              <w:jc w:val="both"/>
            </w:pPr>
            <w:hyperlink r:id="r30">
              <w:r>
                <w:rPr>
                  <w:rFonts w:ascii="Times New Roman" w:hAnsi="Times New Roman"/>
                  <w:color w:val="006fc4"/>
                  <w:sz w:val="20"/>
                </w:rPr>
                <w:t>More cases on this issue</w:t>
              </w:r>
            </w:hyperlink>
          </w:p>
          <w:bookmarkEnd w:id="53"/>
        </w:tc>
      </w:tr>
    </w:tbl>
    <w:p>
      <w:pPr>
        <w:spacing w:before="0" w:after="0" w:line="240" w:lineRule="auto"/>
        <w:rPr>
          <w:sz w:val="20"/>
        </w:rPr>
      </w:pPr>
    </w:p>
    <w:tbl>
      <w:tblPr>
        <w:tblInd w:w="30" w:type="dxa"/>
        <w:tblLayout w:type="fixed"/>
      </w:tblPr>
      <w:tblGrid>
        <w:gridCol w:w="600"/>
        <w:gridCol w:w="4035"/>
      </w:tblGrid>
      <w:bookmarkStart w:id="54" w:name="co_anchor_2083311327015_1"/>
      <w:bookmarkStart w:id="55" w:name="Athens_headnoteCell_F92083311327_1"/>
      <w:bookmarkStart w:id="56" w:name="co_headnotesTable_7_1"/>
      <w:tr>
        <w:tblPrEx/>
        <w:trPr/>
        <w:tc>
          <w:tcPr>
            <w:tcMar>
              <w:left w:w="30" w:type="dxa"/>
              <w:right w:w="30" w:type="dxa"/>
            </w:tcMar>
            <w:vAlign w:val="top"/>
          </w:tcPr>
          <w:p>
            <w:pPr>
              <w:spacing w:before="0" w:after="0" w:line="275" w:lineRule="atLeast"/>
            </w:pPr>
            <w:bookmarkStart w:id="57" w:name="co_anchor_F92083311327_1"/>
            <w:bookmarkStart w:id="58" w:name="co_anchor_headNote_[9]_1"/>
            <w:hyperlink w:anchor="co_pp_HNF9_1">
              <w:r>
                <w:rPr>
                  <w:rFonts w:ascii="Times New Roman" w:hAnsi="Times New Roman"/>
                  <w:b/>
                  <w:color w:val="006fc4"/>
                  <w:sz w:val="20"/>
                  <w:vertAlign w:val="superscript"/>
                </w:rPr>
                <w:t>[9]</w:t>
              </w:r>
            </w:hyperlink>
            <w:bookmarkEnd w:id="58"/>
            <w:bookmarkEnd w:id="57"/>
          </w:p>
        </w:tc>
        <w:tc>
          <w:tcPr>
            <w:tcMar>
              <w:left w:w="30" w:type="dxa"/>
              <w:right w:w="30" w:type="dxa"/>
            </w:tcMar>
            <w:vAlign w:val="top"/>
          </w:tcPr>
          <w:p>
            <w:pPr>
              <w:pBdr>
                <w:bottom w:val="none" w:space="2"/>
              </w:pBdr>
              <w:spacing w:before="0" w:after="0" w:line="275" w:lineRule="atLeast"/>
            </w:pPr>
            <w:hyperlink r:id="r31">
              <w:r>
                <w:rPr>
                  <w:rFonts w:ascii="Times New Roman" w:hAnsi="Times New Roman"/>
                  <w:b/>
                  <w:color w:val="006fc4"/>
                  <w:sz w:val="20"/>
                </w:rPr>
                <w:t>Insurance</w:t>
              </w:r>
            </w:hyperlink>
            <w:r>
              <w:rPr>
                <w:rFonts w:ascii="Times New Roman" w:hAnsi="Times New Roman"/>
                <w:color w:val="1f1f1f"/>
                <w:sz w:val="20"/>
              </w:rPr>
              <w:drawing>
                <wp:inline>
                  <wp:extent cx="133350" cy="76200"/>
                  <wp:docPr id="19" name="Picture 1" descr="Display Key Number Topics"/>
                  <a:graphic>
                    <a:graphicData uri="http://schemas.openxmlformats.org/drawingml/2006/picture">
                      <p:pic>
                        <p:nvPicPr>
                          <p:cNvPr id="20" name="Picture 1" descr="Display Key Number Topics"/>
                          <p:cNvPicPr/>
                        </p:nvPicPr>
                        <p:blipFill>
                          <a:blip r:embed="r12"/>
                          <a:srcRect/>
                          <a:stretch>
                            <a:fillRect/>
                          </a:stretch>
                        </p:blipFill>
                        <p:spPr>
                          <a:xfrm>
                            <a:off x="0" y="0"/>
                            <a:ext cx="133350" cy="76200"/>
                          </a:xfrm>
                          <a:prstGeom prst="rect"/>
                        </p:spPr>
                      </p:pic>
                    </a:graphicData>
                  </a:graphic>
                </wp:inline>
              </w:drawing>
            </w:r>
            <w:hyperlink r:id="r32">
              <w:r>
                <w:rPr>
                  <w:rFonts w:ascii="Times New Roman" w:hAnsi="Times New Roman"/>
                  <w:color w:val="006fc4"/>
                  <w:sz w:val="20"/>
                </w:rPr>
                <w:t>Burden of proof</w:t>
              </w:r>
            </w:hyperlink>
          </w:p>
        </w:tc>
      </w:tr>
      <w:bookmarkEnd w:id="56"/>
      <w:bookmarkEnd w:id="55"/>
      <w:bookmarkEnd w:id="5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insured has burden to establish that claim is within basic scope of insurance coverage and insurer has burden to establish that exclusions apply.</w:t>
            </w:r>
          </w:p>
        </w:tc>
      </w:tr>
    </w:tbl>
    <w:p>
      <w:pPr>
        <w:spacing w:before="0" w:after="0" w:line="240" w:lineRule="auto"/>
        <w:rPr>
          <w:sz w:val="20"/>
        </w:rPr>
      </w:pPr>
    </w:p>
    <w:tbl>
      <w:tblPr>
        <w:tblInd w:w="30" w:type="dxa"/>
        <w:tblLayout w:type="fixed"/>
      </w:tblPr>
      <w:tblGrid>
        <w:gridCol w:w="600"/>
        <w:gridCol w:w="4035"/>
      </w:tblGrid>
      <w:bookmarkStart w:id="59" w:name="co_headnoteId_2083311327015202503111547"/>
      <w:bookmarkStart w:id="60" w:name="co_anchor_2083311327016_1"/>
      <w:bookmarkStart w:id="61" w:name="Athens_headnoteCell_F102083311327_1"/>
      <w:bookmarkStart w:id="62" w:name="co_headnotesTable_8_1"/>
      <w:tr>
        <w:tblPrEx/>
        <w:trPr/>
        <w:tc>
          <w:tcPr>
            <w:tcMar>
              <w:left w:w="30" w:type="dxa"/>
              <w:right w:w="30" w:type="dxa"/>
            </w:tcMar>
            <w:vAlign w:val="top"/>
          </w:tcPr>
          <w:p>
            <w:pPr>
              <w:spacing w:before="0" w:after="0" w:line="275" w:lineRule="atLeast"/>
            </w:pPr>
            <w:bookmarkStart w:id="63" w:name="co_anchor_F102083311327_1"/>
            <w:bookmarkStart w:id="64" w:name="co_anchor_headNote_[10]_1"/>
            <w:hyperlink w:anchor="co_pp_HNF10_1">
              <w:r>
                <w:rPr>
                  <w:rFonts w:ascii="Times New Roman" w:hAnsi="Times New Roman"/>
                  <w:b/>
                  <w:color w:val="006fc4"/>
                  <w:sz w:val="20"/>
                  <w:vertAlign w:val="superscript"/>
                </w:rPr>
                <w:t>[10]</w:t>
              </w:r>
            </w:hyperlink>
            <w:bookmarkEnd w:id="64"/>
            <w:bookmarkEnd w:id="63"/>
          </w:p>
        </w:tc>
        <w:tc>
          <w:tcPr>
            <w:tcMar>
              <w:left w:w="30" w:type="dxa"/>
              <w:right w:w="30" w:type="dxa"/>
            </w:tcMar>
            <w:vAlign w:val="top"/>
          </w:tcPr>
          <w:p>
            <w:pPr>
              <w:pBdr>
                <w:bottom w:val="none" w:space="2"/>
              </w:pBdr>
              <w:spacing w:before="0" w:after="0" w:line="275" w:lineRule="atLeast"/>
            </w:pPr>
            <w:hyperlink r:id="r33">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21" name="Picture 1" descr="Display Key Number Topics"/>
                  <a:graphic>
                    <a:graphicData uri="http://schemas.openxmlformats.org/drawingml/2006/picture">
                      <p:pic>
                        <p:nvPicPr>
                          <p:cNvPr id="22" name="Picture 1" descr="Display Key Number Topics"/>
                          <p:cNvPicPr/>
                        </p:nvPicPr>
                        <p:blipFill>
                          <a:blip r:embed="r12"/>
                          <a:srcRect/>
                          <a:stretch>
                            <a:fillRect/>
                          </a:stretch>
                        </p:blipFill>
                        <p:spPr>
                          <a:xfrm>
                            <a:off x="0" y="0"/>
                            <a:ext cx="133350" cy="76200"/>
                          </a:xfrm>
                          <a:prstGeom prst="rect"/>
                        </p:spPr>
                      </p:pic>
                    </a:graphicData>
                  </a:graphic>
                </wp:inline>
              </w:drawing>
            </w:r>
            <w:hyperlink r:id="r34">
              <w:r>
                <w:rPr>
                  <w:rFonts w:ascii="Times New Roman" w:hAnsi="Times New Roman"/>
                  <w:color w:val="006fc4"/>
                  <w:sz w:val="20"/>
                </w:rPr>
                <w:t>Consolidation of actions</w:t>
              </w:r>
            </w:hyperlink>
          </w:p>
        </w:tc>
      </w:tr>
      <w:bookmarkEnd w:id="62"/>
      <w:bookmarkEnd w:id="61"/>
      <w:bookmarkEnd w:id="60"/>
      <w:bookmarkEnd w:id="5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Consolidation is for efficiency only and should not affect legal rights.</w:t>
            </w:r>
          </w:p>
        </w:tc>
      </w:tr>
    </w:tbl>
    <w:p>
      <w:pPr>
        <w:spacing w:before="0" w:after="0" w:line="240" w:lineRule="auto"/>
        <w:rPr>
          <w:sz w:val="20"/>
        </w:rPr>
      </w:pPr>
    </w:p>
    <w:tbl>
      <w:tblPr>
        <w:tblInd w:w="30" w:type="dxa"/>
        <w:tblLayout w:type="fixed"/>
      </w:tblPr>
      <w:tblGrid>
        <w:gridCol w:w="600"/>
        <w:gridCol w:w="4035"/>
      </w:tblGrid>
      <w:bookmarkStart w:id="65" w:name="co_headnoteId_2083311327016202503111547"/>
      <w:bookmarkStart w:id="66" w:name="co_anchor_2083311327017_1"/>
      <w:bookmarkStart w:id="67" w:name="Athens_headnoteCell_F112083311327_1"/>
      <w:bookmarkStart w:id="68" w:name="co_headnotesTable_9_1"/>
      <w:tr>
        <w:tblPrEx/>
        <w:trPr/>
        <w:tc>
          <w:tcPr>
            <w:tcMar>
              <w:left w:w="30" w:type="dxa"/>
              <w:right w:w="30" w:type="dxa"/>
            </w:tcMar>
            <w:vAlign w:val="top"/>
          </w:tcPr>
          <w:p>
            <w:pPr>
              <w:spacing w:before="0" w:after="0" w:line="275" w:lineRule="atLeast"/>
            </w:pPr>
            <w:bookmarkStart w:id="69" w:name="co_anchor_F112083311327_1"/>
            <w:bookmarkStart w:id="70" w:name="co_anchor_headNote_[11]_1"/>
            <w:hyperlink w:anchor="co_pp_HNF11_1">
              <w:r>
                <w:rPr>
                  <w:rFonts w:ascii="Times New Roman" w:hAnsi="Times New Roman"/>
                  <w:b/>
                  <w:color w:val="006fc4"/>
                  <w:sz w:val="20"/>
                  <w:vertAlign w:val="superscript"/>
                </w:rPr>
                <w:t>[11]</w:t>
              </w:r>
            </w:hyperlink>
            <w:bookmarkEnd w:id="70"/>
            <w:bookmarkEnd w:id="69"/>
          </w:p>
        </w:tc>
        <w:tc>
          <w:tcPr>
            <w:tcMar>
              <w:left w:w="30" w:type="dxa"/>
              <w:right w:w="30" w:type="dxa"/>
            </w:tcMar>
            <w:vAlign w:val="top"/>
          </w:tcPr>
          <w:p>
            <w:pPr>
              <w:pBdr>
                <w:bottom w:val="none" w:space="2"/>
              </w:pBdr>
              <w:spacing w:before="0" w:after="0" w:line="275" w:lineRule="atLeast"/>
            </w:pPr>
            <w:hyperlink r:id="r35">
              <w:r>
                <w:rPr>
                  <w:rFonts w:ascii="Times New Roman" w:hAnsi="Times New Roman"/>
                  <w:b/>
                  <w:color w:val="006fc4"/>
                  <w:sz w:val="20"/>
                </w:rPr>
                <w:t>Insurance</w:t>
              </w:r>
            </w:hyperlink>
            <w:r>
              <w:rPr>
                <w:rFonts w:ascii="Times New Roman" w:hAnsi="Times New Roman"/>
                <w:color w:val="1f1f1f"/>
                <w:sz w:val="20"/>
              </w:rPr>
              <w:drawing>
                <wp:inline>
                  <wp:extent cx="133350" cy="76200"/>
                  <wp:docPr id="23" name="Picture 1" descr="Display Key Number Topics"/>
                  <a:graphic>
                    <a:graphicData uri="http://schemas.openxmlformats.org/drawingml/2006/picture">
                      <p:pic>
                        <p:nvPicPr>
                          <p:cNvPr id="24" name="Picture 1" descr="Display Key Number Topics"/>
                          <p:cNvPicPr/>
                        </p:nvPicPr>
                        <p:blipFill>
                          <a:blip r:embed="r12"/>
                          <a:srcRect/>
                          <a:stretch>
                            <a:fillRect/>
                          </a:stretch>
                        </p:blipFill>
                        <p:spPr>
                          <a:xfrm>
                            <a:off x="0" y="0"/>
                            <a:ext cx="133350" cy="76200"/>
                          </a:xfrm>
                          <a:prstGeom prst="rect"/>
                        </p:spPr>
                      </p:pic>
                    </a:graphicData>
                  </a:graphic>
                </wp:inline>
              </w:drawing>
            </w:r>
            <w:hyperlink r:id="r36">
              <w:r>
                <w:rPr>
                  <w:rFonts w:ascii="Times New Roman" w:hAnsi="Times New Roman"/>
                  <w:color w:val="006fc4"/>
                  <w:sz w:val="20"/>
                </w:rPr>
                <w:t>Pollution</w:t>
              </w:r>
            </w:hyperlink>
          </w:p>
        </w:tc>
      </w:tr>
      <w:bookmarkEnd w:id="68"/>
      <w:bookmarkEnd w:id="67"/>
      <w:bookmarkEnd w:id="66"/>
      <w:bookmarkEnd w:id="6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Pollution exclusion in commercial general liability (CGL) insurance policies, which was strictly construed to injuries resulting from “discharge, dispersal, seepage, migration, release or escape of pollutants,” did not apply under California law to underlying actions brought by current or retired firefighters against insured manufacturer and seller of chemical products alleging that they were directly exposed to per-and poly-fluoroalkyl substances (PFAS) through their ordinary use of insured's products, not via general environmental pollution, i.e., contaminated water supply, on basis that policies did not conspicuously, plainly, and clearly apprise insured that policies did not cover users harmed by chemicals in product; although PFAS was chemical, and chemicals were specifically enumerated as type of pollutant, not all harms caused by PFAS were type of pollution, and policy provided protection where insured was legally obligated to pay damages based on claims of bodily injury or property damage, which connoted general protection for alleged bodily injury caused by insured.</w:t>
            </w:r>
          </w:p>
          <w:bookmarkStart w:id="71" w:name="co_headnoteId_2083311327017202503111547"/>
          <w:p>
            <w:pPr>
              <w:spacing w:before="200" w:after="0" w:line="275" w:lineRule="atLeast"/>
              <w:jc w:val="both"/>
            </w:pPr>
            <w:hyperlink r:id="r37">
              <w:r>
                <w:rPr>
                  <w:rFonts w:ascii="Times New Roman" w:hAnsi="Times New Roman"/>
                  <w:color w:val="006fc4"/>
                  <w:sz w:val="20"/>
                </w:rPr>
                <w:t>More cases on this issue</w:t>
              </w:r>
            </w:hyperlink>
          </w:p>
          <w:bookmarkEnd w:id="71"/>
        </w:tc>
      </w:tr>
    </w:tbl>
    <w:p>
      <w:pPr>
        <w:spacing w:before="0" w:after="0" w:line="240" w:lineRule="auto"/>
        <w:rPr>
          <w:sz w:val="20"/>
        </w:rPr>
      </w:pPr>
    </w:p>
    <w:tbl>
      <w:tblPr>
        <w:tblInd w:w="30" w:type="dxa"/>
        <w:tblLayout w:type="fixed"/>
      </w:tblPr>
      <w:tblGrid>
        <w:gridCol w:w="600"/>
        <w:gridCol w:w="4035"/>
      </w:tblGrid>
      <w:bookmarkStart w:id="72" w:name="co_anchor_2083311327018_1"/>
      <w:bookmarkStart w:id="73" w:name="Athens_headnoteCell_F122083311327_1"/>
      <w:bookmarkStart w:id="74" w:name="co_headnotesTable_10_1"/>
      <w:tr>
        <w:tblPrEx/>
        <w:trPr/>
        <w:tc>
          <w:tcPr>
            <w:tcMar>
              <w:left w:w="30" w:type="dxa"/>
              <w:right w:w="30" w:type="dxa"/>
            </w:tcMar>
            <w:vAlign w:val="top"/>
          </w:tcPr>
          <w:p>
            <w:pPr>
              <w:spacing w:before="0" w:after="0" w:line="275" w:lineRule="atLeast"/>
            </w:pPr>
            <w:bookmarkStart w:id="75" w:name="co_anchor_F122083311327_1"/>
            <w:bookmarkStart w:id="76" w:name="co_anchor_headNote_[12]_1"/>
            <w:hyperlink w:anchor="co_pp_HNF12_1">
              <w:r>
                <w:rPr>
                  <w:rFonts w:ascii="Times New Roman" w:hAnsi="Times New Roman"/>
                  <w:b/>
                  <w:color w:val="006fc4"/>
                  <w:sz w:val="20"/>
                  <w:vertAlign w:val="superscript"/>
                </w:rPr>
                <w:t>[12]</w:t>
              </w:r>
            </w:hyperlink>
            <w:bookmarkEnd w:id="76"/>
            <w:bookmarkEnd w:id="75"/>
          </w:p>
        </w:tc>
        <w:tc>
          <w:tcPr>
            <w:tcMar>
              <w:left w:w="30" w:type="dxa"/>
              <w:right w:w="30" w:type="dxa"/>
            </w:tcMar>
            <w:vAlign w:val="top"/>
          </w:tcPr>
          <w:p>
            <w:pPr>
              <w:pBdr>
                <w:bottom w:val="none" w:space="2"/>
              </w:pBdr>
              <w:spacing w:before="0" w:after="0" w:line="275" w:lineRule="atLeast"/>
            </w:pPr>
            <w:hyperlink r:id="r38">
              <w:r>
                <w:rPr>
                  <w:rFonts w:ascii="Times New Roman" w:hAnsi="Times New Roman"/>
                  <w:b/>
                  <w:color w:val="006fc4"/>
                  <w:sz w:val="20"/>
                </w:rPr>
                <w:t>Insurance</w:t>
              </w:r>
            </w:hyperlink>
            <w:r>
              <w:rPr>
                <w:rFonts w:ascii="Times New Roman" w:hAnsi="Times New Roman"/>
                <w:color w:val="1f1f1f"/>
                <w:sz w:val="20"/>
              </w:rPr>
              <w:drawing>
                <wp:inline>
                  <wp:extent cx="133350" cy="76200"/>
                  <wp:docPr id="25" name="Picture 1" descr="Display Key Number Topics"/>
                  <a:graphic>
                    <a:graphicData uri="http://schemas.openxmlformats.org/drawingml/2006/picture">
                      <p:pic>
                        <p:nvPicPr>
                          <p:cNvPr id="26" name="Picture 1" descr="Display Key Number Topics"/>
                          <p:cNvPicPr/>
                        </p:nvPicPr>
                        <p:blipFill>
                          <a:blip r:embed="r12"/>
                          <a:srcRect/>
                          <a:stretch>
                            <a:fillRect/>
                          </a:stretch>
                        </p:blipFill>
                        <p:spPr>
                          <a:xfrm>
                            <a:off x="0" y="0"/>
                            <a:ext cx="133350" cy="76200"/>
                          </a:xfrm>
                          <a:prstGeom prst="rect"/>
                        </p:spPr>
                      </p:pic>
                    </a:graphicData>
                  </a:graphic>
                </wp:inline>
              </w:drawing>
            </w:r>
            <w:hyperlink r:id="r39">
              <w:r>
                <w:rPr>
                  <w:rFonts w:ascii="Times New Roman" w:hAnsi="Times New Roman"/>
                  <w:color w:val="006fc4"/>
                  <w:sz w:val="20"/>
                </w:rPr>
                <w:t>Exclusions, exceptions or limitations</w:t>
              </w:r>
            </w:hyperlink>
          </w:p>
        </w:tc>
      </w:tr>
      <w:bookmarkEnd w:id="74"/>
      <w:bookmarkEnd w:id="73"/>
      <w:bookmarkEnd w:id="7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insurance coverage exclusions are strictly construed against insurer and liberally interpreted in favor of insured.</w:t>
            </w:r>
          </w:p>
        </w:tc>
      </w:tr>
    </w:tbl>
    <w:p>
      <w:pPr>
        <w:spacing w:before="0" w:after="0" w:line="240" w:lineRule="auto"/>
        <w:rPr>
          <w:sz w:val="20"/>
        </w:rPr>
      </w:pPr>
    </w:p>
    <w:tbl>
      <w:tblPr>
        <w:tblInd w:w="30" w:type="dxa"/>
        <w:tblLayout w:type="fixed"/>
      </w:tblPr>
      <w:tblGrid>
        <w:gridCol w:w="600"/>
        <w:gridCol w:w="4035"/>
      </w:tblGrid>
      <w:bookmarkStart w:id="77" w:name="co_headnoteId_2083311327018202503111547"/>
      <w:bookmarkStart w:id="78" w:name="co_anchor_2083311327019_1"/>
      <w:bookmarkStart w:id="79" w:name="Athens_headnoteCell_F132083311327_1"/>
      <w:bookmarkStart w:id="80" w:name="co_headnotesTable_11_1"/>
      <w:tr>
        <w:tblPrEx/>
        <w:trPr/>
        <w:tc>
          <w:tcPr>
            <w:tcMar>
              <w:left w:w="30" w:type="dxa"/>
              <w:right w:w="30" w:type="dxa"/>
            </w:tcMar>
            <w:vAlign w:val="top"/>
          </w:tcPr>
          <w:p>
            <w:pPr>
              <w:spacing w:before="0" w:after="0" w:line="275" w:lineRule="atLeast"/>
            </w:pPr>
            <w:bookmarkStart w:id="81" w:name="co_anchor_F132083311327_1"/>
            <w:bookmarkStart w:id="82" w:name="co_anchor_headNote_[13]_1"/>
            <w:hyperlink w:anchor="co_pp_HNF13_1">
              <w:r>
                <w:rPr>
                  <w:rFonts w:ascii="Times New Roman" w:hAnsi="Times New Roman"/>
                  <w:b/>
                  <w:color w:val="006fc4"/>
                  <w:sz w:val="20"/>
                  <w:vertAlign w:val="superscript"/>
                </w:rPr>
                <w:t>[13]</w:t>
              </w:r>
            </w:hyperlink>
            <w:bookmarkEnd w:id="82"/>
            <w:bookmarkEnd w:id="81"/>
          </w:p>
        </w:tc>
        <w:tc>
          <w:tcPr>
            <w:tcMar>
              <w:left w:w="30" w:type="dxa"/>
              <w:right w:w="30" w:type="dxa"/>
            </w:tcMar>
            <w:vAlign w:val="top"/>
          </w:tcPr>
          <w:p>
            <w:pPr>
              <w:pBdr>
                <w:bottom w:val="none" w:space="2"/>
              </w:pBdr>
              <w:spacing w:before="0" w:after="0" w:line="275" w:lineRule="atLeast"/>
            </w:pPr>
            <w:hyperlink r:id="r40">
              <w:r>
                <w:rPr>
                  <w:rFonts w:ascii="Times New Roman" w:hAnsi="Times New Roman"/>
                  <w:b/>
                  <w:color w:val="006fc4"/>
                  <w:sz w:val="20"/>
                </w:rPr>
                <w:t>Insurance</w:t>
              </w:r>
            </w:hyperlink>
            <w:r>
              <w:rPr>
                <w:rFonts w:ascii="Times New Roman" w:hAnsi="Times New Roman"/>
                <w:color w:val="1f1f1f"/>
                <w:sz w:val="20"/>
              </w:rPr>
              <w:drawing>
                <wp:inline>
                  <wp:extent cx="133350" cy="76200"/>
                  <wp:docPr id="27" name="Picture 1" descr="Display Key Number Topics"/>
                  <a:graphic>
                    <a:graphicData uri="http://schemas.openxmlformats.org/drawingml/2006/picture">
                      <p:pic>
                        <p:nvPicPr>
                          <p:cNvPr id="28" name="Picture 1" descr="Display Key Number Topics"/>
                          <p:cNvPicPr/>
                        </p:nvPicPr>
                        <p:blipFill>
                          <a:blip r:embed="r12"/>
                          <a:srcRect/>
                          <a:stretch>
                            <a:fillRect/>
                          </a:stretch>
                        </p:blipFill>
                        <p:spPr>
                          <a:xfrm>
                            <a:off x="0" y="0"/>
                            <a:ext cx="133350" cy="76200"/>
                          </a:xfrm>
                          <a:prstGeom prst="rect"/>
                        </p:spPr>
                      </p:pic>
                    </a:graphicData>
                  </a:graphic>
                </wp:inline>
              </w:drawing>
            </w:r>
            <w:hyperlink r:id="r41">
              <w:r>
                <w:rPr>
                  <w:rFonts w:ascii="Times New Roman" w:hAnsi="Times New Roman"/>
                  <w:color w:val="006fc4"/>
                  <w:sz w:val="20"/>
                </w:rPr>
                <w:t>Exclusions and limitations in general</w:t>
              </w:r>
            </w:hyperlink>
          </w:p>
        </w:tc>
      </w:tr>
      <w:bookmarkEnd w:id="80"/>
      <w:bookmarkEnd w:id="79"/>
      <w:bookmarkEnd w:id="78"/>
      <w:bookmarkEnd w:id="7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insurance coverage exclusions are enforceable only if language is clear and unmistakable.</w:t>
            </w:r>
          </w:p>
        </w:tc>
      </w:tr>
    </w:tbl>
    <w:p>
      <w:pPr>
        <w:spacing w:before="0" w:after="0" w:line="240" w:lineRule="auto"/>
        <w:rPr>
          <w:sz w:val="20"/>
        </w:rPr>
      </w:pPr>
    </w:p>
    <w:tbl>
      <w:tblPr>
        <w:tblInd w:w="30" w:type="dxa"/>
        <w:tblLayout w:type="fixed"/>
      </w:tblPr>
      <w:tblGrid>
        <w:gridCol w:w="600"/>
        <w:gridCol w:w="4035"/>
      </w:tblGrid>
      <w:bookmarkStart w:id="83" w:name="co_headnoteId_2083311327019202503111547"/>
      <w:bookmarkStart w:id="84" w:name="co_anchor_2083311327020_1"/>
      <w:bookmarkStart w:id="85" w:name="Athens_headnoteCell_F142083311327_1"/>
      <w:bookmarkStart w:id="86" w:name="co_headnotesTable_12_1"/>
      <w:tr>
        <w:tblPrEx/>
        <w:trPr/>
        <w:tc>
          <w:tcPr>
            <w:tcMar>
              <w:left w:w="30" w:type="dxa"/>
              <w:right w:w="30" w:type="dxa"/>
            </w:tcMar>
            <w:vAlign w:val="top"/>
          </w:tcPr>
          <w:p>
            <w:pPr>
              <w:spacing w:before="0" w:after="0" w:line="275" w:lineRule="atLeast"/>
            </w:pPr>
            <w:bookmarkStart w:id="87" w:name="co_anchor_F142083311327_1"/>
            <w:bookmarkStart w:id="88" w:name="co_anchor_headNote_[14]_1"/>
            <w:hyperlink w:anchor="co_pp_HNF14_1">
              <w:r>
                <w:rPr>
                  <w:rFonts w:ascii="Times New Roman" w:hAnsi="Times New Roman"/>
                  <w:b/>
                  <w:color w:val="006fc4"/>
                  <w:sz w:val="20"/>
                  <w:vertAlign w:val="superscript"/>
                </w:rPr>
                <w:t>[14]</w:t>
              </w:r>
            </w:hyperlink>
            <w:bookmarkEnd w:id="88"/>
            <w:bookmarkEnd w:id="87"/>
          </w:p>
        </w:tc>
        <w:tc>
          <w:tcPr>
            <w:tcMar>
              <w:left w:w="30" w:type="dxa"/>
              <w:right w:w="30" w:type="dxa"/>
            </w:tcMar>
            <w:vAlign w:val="top"/>
          </w:tcPr>
          <w:p>
            <w:pPr>
              <w:pBdr>
                <w:bottom w:val="none" w:space="2"/>
              </w:pBdr>
              <w:spacing w:before="0" w:after="0" w:line="275" w:lineRule="atLeast"/>
            </w:pPr>
            <w:hyperlink r:id="r42">
              <w:r>
                <w:rPr>
                  <w:rFonts w:ascii="Times New Roman" w:hAnsi="Times New Roman"/>
                  <w:b/>
                  <w:color w:val="006fc4"/>
                  <w:sz w:val="20"/>
                </w:rPr>
                <w:t>Insurance</w:t>
              </w:r>
            </w:hyperlink>
            <w:r>
              <w:rPr>
                <w:rFonts w:ascii="Times New Roman" w:hAnsi="Times New Roman"/>
                <w:color w:val="1f1f1f"/>
                <w:sz w:val="20"/>
              </w:rPr>
              <w:drawing>
                <wp:inline>
                  <wp:extent cx="133350" cy="76200"/>
                  <wp:docPr id="29" name="Picture 1" descr="Display Key Number Topics"/>
                  <a:graphic>
                    <a:graphicData uri="http://schemas.openxmlformats.org/drawingml/2006/picture">
                      <p:pic>
                        <p:nvPicPr>
                          <p:cNvPr id="30" name="Picture 1" descr="Display Key Number Topics"/>
                          <p:cNvPicPr/>
                        </p:nvPicPr>
                        <p:blipFill>
                          <a:blip r:embed="r12"/>
                          <a:srcRect/>
                          <a:stretch>
                            <a:fillRect/>
                          </a:stretch>
                        </p:blipFill>
                        <p:spPr>
                          <a:xfrm>
                            <a:off x="0" y="0"/>
                            <a:ext cx="133350" cy="76200"/>
                          </a:xfrm>
                          <a:prstGeom prst="rect"/>
                        </p:spPr>
                      </p:pic>
                    </a:graphicData>
                  </a:graphic>
                </wp:inline>
              </w:drawing>
            </w:r>
            <w:hyperlink r:id="r43">
              <w:r>
                <w:rPr>
                  <w:rFonts w:ascii="Times New Roman" w:hAnsi="Times New Roman"/>
                  <w:color w:val="006fc4"/>
                  <w:sz w:val="20"/>
                </w:rPr>
                <w:t>Burden of proof</w:t>
              </w:r>
            </w:hyperlink>
          </w:p>
        </w:tc>
      </w:tr>
      <w:bookmarkEnd w:id="86"/>
      <w:bookmarkEnd w:id="85"/>
      <w:bookmarkEnd w:id="84"/>
      <w:bookmarkEnd w:id="8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insurer has burden to establish that insurance exclusion applies.</w:t>
            </w:r>
          </w:p>
        </w:tc>
      </w:tr>
    </w:tbl>
    <w:p>
      <w:pPr>
        <w:spacing w:before="0" w:after="0" w:line="240" w:lineRule="auto"/>
        <w:rPr>
          <w:sz w:val="20"/>
        </w:rPr>
      </w:pPr>
    </w:p>
    <w:tbl>
      <w:tblPr>
        <w:tblInd w:w="30" w:type="dxa"/>
        <w:tblLayout w:type="fixed"/>
      </w:tblPr>
      <w:tblGrid>
        <w:gridCol w:w="600"/>
        <w:gridCol w:w="4035"/>
      </w:tblGrid>
      <w:bookmarkStart w:id="89" w:name="co_headnoteId_2083311327020202503111547"/>
      <w:bookmarkStart w:id="90" w:name="co_anchor_2083311327021_1"/>
      <w:bookmarkStart w:id="91" w:name="Athens_headnoteCell_F152083311327_1"/>
      <w:bookmarkStart w:id="92" w:name="co_headnotesTable_13_1"/>
      <w:tr>
        <w:tblPrEx/>
        <w:trPr/>
        <w:tc>
          <w:tcPr>
            <w:tcMar>
              <w:left w:w="30" w:type="dxa"/>
              <w:right w:w="30" w:type="dxa"/>
            </w:tcMar>
            <w:vAlign w:val="top"/>
          </w:tcPr>
          <w:p>
            <w:pPr>
              <w:spacing w:before="0" w:after="0" w:line="275" w:lineRule="atLeast"/>
            </w:pPr>
            <w:bookmarkStart w:id="93" w:name="co_anchor_F152083311327_1"/>
            <w:bookmarkStart w:id="94" w:name="co_anchor_headNote_[15]_1"/>
            <w:hyperlink w:anchor="co_pp_HNF15_1">
              <w:r>
                <w:rPr>
                  <w:rFonts w:ascii="Times New Roman" w:hAnsi="Times New Roman"/>
                  <w:b/>
                  <w:color w:val="006fc4"/>
                  <w:sz w:val="20"/>
                  <w:vertAlign w:val="superscript"/>
                </w:rPr>
                <w:t>[15]</w:t>
              </w:r>
            </w:hyperlink>
            <w:bookmarkEnd w:id="94"/>
            <w:bookmarkEnd w:id="93"/>
          </w:p>
        </w:tc>
        <w:tc>
          <w:tcPr>
            <w:tcMar>
              <w:left w:w="30" w:type="dxa"/>
              <w:right w:w="30" w:type="dxa"/>
            </w:tcMar>
            <w:vAlign w:val="top"/>
          </w:tcPr>
          <w:p>
            <w:pPr>
              <w:pBdr>
                <w:bottom w:val="none" w:space="2"/>
              </w:pBdr>
              <w:spacing w:before="0" w:after="0" w:line="275" w:lineRule="atLeast"/>
            </w:pPr>
            <w:hyperlink r:id="r44">
              <w:r>
                <w:rPr>
                  <w:rFonts w:ascii="Times New Roman" w:hAnsi="Times New Roman"/>
                  <w:b/>
                  <w:color w:val="006fc4"/>
                  <w:sz w:val="20"/>
                </w:rPr>
                <w:t>Insurance</w:t>
              </w:r>
            </w:hyperlink>
            <w:r>
              <w:rPr>
                <w:rFonts w:ascii="Times New Roman" w:hAnsi="Times New Roman"/>
                <w:color w:val="1f1f1f"/>
                <w:sz w:val="20"/>
              </w:rPr>
              <w:drawing>
                <wp:inline>
                  <wp:extent cx="133350" cy="76200"/>
                  <wp:docPr id="31" name="Picture 1" descr="Display Key Number Topics"/>
                  <a:graphic>
                    <a:graphicData uri="http://schemas.openxmlformats.org/drawingml/2006/picture">
                      <p:pic>
                        <p:nvPicPr>
                          <p:cNvPr id="32" name="Picture 1" descr="Display Key Number Topics"/>
                          <p:cNvPicPr/>
                        </p:nvPicPr>
                        <p:blipFill>
                          <a:blip r:embed="r12"/>
                          <a:srcRect/>
                          <a:stretch>
                            <a:fillRect/>
                          </a:stretch>
                        </p:blipFill>
                        <p:spPr>
                          <a:xfrm>
                            <a:off x="0" y="0"/>
                            <a:ext cx="133350" cy="76200"/>
                          </a:xfrm>
                          <a:prstGeom prst="rect"/>
                        </p:spPr>
                      </p:pic>
                    </a:graphicData>
                  </a:graphic>
                </wp:inline>
              </w:drawing>
            </w:r>
            <w:hyperlink r:id="r45">
              <w:r>
                <w:rPr>
                  <w:rFonts w:ascii="Times New Roman" w:hAnsi="Times New Roman"/>
                  <w:color w:val="006fc4"/>
                  <w:sz w:val="20"/>
                </w:rPr>
                <w:t>Pollution</w:t>
              </w:r>
            </w:hyperlink>
          </w:p>
        </w:tc>
      </w:tr>
      <w:bookmarkEnd w:id="92"/>
      <w:bookmarkEnd w:id="91"/>
      <w:bookmarkEnd w:id="90"/>
      <w:bookmarkEnd w:id="8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“pollution,” within the meaning of a pollution exclusion in a commercial general liability (CGL) insurance policy, is not just a class of substances, i.e., smoke, vapor, soot, fumes, acids, alkalis, chemicals, and waste, but also a mechanism of harm.</w:t>
            </w:r>
          </w:p>
        </w:tc>
      </w:tr>
    </w:tbl>
    <w:p>
      <w:pPr>
        <w:spacing w:before="0" w:after="0" w:line="240" w:lineRule="auto"/>
        <w:rPr>
          <w:sz w:val="20"/>
        </w:rPr>
      </w:pPr>
    </w:p>
    <w:tbl>
      <w:tblPr>
        <w:tblInd w:w="30" w:type="dxa"/>
        <w:tblLayout w:type="fixed"/>
      </w:tblPr>
      <w:tblGrid>
        <w:gridCol w:w="600"/>
        <w:gridCol w:w="4035"/>
      </w:tblGrid>
      <w:bookmarkStart w:id="95" w:name="co_headnoteId_2083311327021202503111547"/>
      <w:bookmarkStart w:id="96" w:name="co_anchor_2083311327022_1"/>
      <w:bookmarkStart w:id="97" w:name="Athens_headnoteCell_F162083311327_1"/>
      <w:bookmarkStart w:id="98" w:name="co_headnotesTable_14_1"/>
      <w:tr>
        <w:tblPrEx/>
        <w:trPr/>
        <w:tc>
          <w:tcPr>
            <w:tcMar>
              <w:left w:w="30" w:type="dxa"/>
              <w:right w:w="30" w:type="dxa"/>
            </w:tcMar>
            <w:vAlign w:val="top"/>
          </w:tcPr>
          <w:p>
            <w:pPr>
              <w:spacing w:before="0" w:after="0" w:line="275" w:lineRule="atLeast"/>
            </w:pPr>
            <w:bookmarkStart w:id="99" w:name="co_anchor_F162083311327_1"/>
            <w:bookmarkStart w:id="100" w:name="co_anchor_headNote_[16]_1"/>
            <w:hyperlink w:anchor="co_pp_HNF16_1">
              <w:r>
                <w:rPr>
                  <w:rFonts w:ascii="Times New Roman" w:hAnsi="Times New Roman"/>
                  <w:b/>
                  <w:color w:val="006fc4"/>
                  <w:sz w:val="20"/>
                  <w:vertAlign w:val="superscript"/>
                </w:rPr>
                <w:t>[16]</w:t>
              </w:r>
            </w:hyperlink>
            <w:bookmarkEnd w:id="100"/>
            <w:bookmarkEnd w:id="99"/>
          </w:p>
        </w:tc>
        <w:tc>
          <w:tcPr>
            <w:tcMar>
              <w:left w:w="30" w:type="dxa"/>
              <w:right w:w="30" w:type="dxa"/>
            </w:tcMar>
            <w:vAlign w:val="top"/>
          </w:tcPr>
          <w:p>
            <w:pPr>
              <w:pBdr>
                <w:bottom w:val="none" w:space="2"/>
              </w:pBdr>
              <w:spacing w:before="0" w:after="0" w:line="275" w:lineRule="atLeast"/>
            </w:pPr>
            <w:hyperlink r:id="r46">
              <w:r>
                <w:rPr>
                  <w:rFonts w:ascii="Times New Roman" w:hAnsi="Times New Roman"/>
                  <w:b/>
                  <w:color w:val="006fc4"/>
                  <w:sz w:val="20"/>
                </w:rPr>
                <w:t>Insurance</w:t>
              </w:r>
            </w:hyperlink>
            <w:r>
              <w:rPr>
                <w:rFonts w:ascii="Times New Roman" w:hAnsi="Times New Roman"/>
                <w:color w:val="1f1f1f"/>
                <w:sz w:val="20"/>
              </w:rPr>
              <w:drawing>
                <wp:inline>
                  <wp:extent cx="133350" cy="76200"/>
                  <wp:docPr id="33" name="Picture 1" descr="Display Key Number Topics"/>
                  <a:graphic>
                    <a:graphicData uri="http://schemas.openxmlformats.org/drawingml/2006/picture">
                      <p:pic>
                        <p:nvPicPr>
                          <p:cNvPr id="34" name="Picture 1" descr="Display Key Number Topics"/>
                          <p:cNvPicPr/>
                        </p:nvPicPr>
                        <p:blipFill>
                          <a:blip r:embed="r12"/>
                          <a:srcRect/>
                          <a:stretch>
                            <a:fillRect/>
                          </a:stretch>
                        </p:blipFill>
                        <p:spPr>
                          <a:xfrm>
                            <a:off x="0" y="0"/>
                            <a:ext cx="133350" cy="76200"/>
                          </a:xfrm>
                          <a:prstGeom prst="rect"/>
                        </p:spPr>
                      </p:pic>
                    </a:graphicData>
                  </a:graphic>
                </wp:inline>
              </w:drawing>
            </w:r>
            <w:hyperlink r:id="r47">
              <w:r>
                <w:rPr>
                  <w:rFonts w:ascii="Times New Roman" w:hAnsi="Times New Roman"/>
                  <w:color w:val="006fc4"/>
                  <w:sz w:val="20"/>
                </w:rPr>
                <w:t>Accident, occurrence or event</w:t>
              </w:r>
            </w:hyperlink>
          </w:p>
        </w:tc>
      </w:tr>
      <w:bookmarkEnd w:id="98"/>
      <w:bookmarkEnd w:id="97"/>
      <w:bookmarkEnd w:id="96"/>
      <w:bookmarkEnd w:id="9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Underlying action under California law, alleging that insured manufacturer and seller of chemical products breached duty of care in design, manufacturing, and distribution of its products and that it should have realized risks posed by its conduct, sufficiently alleged bodily injury or property damage caused by occurrence, which was defined as “an accident, including continuous or repeated exposure to substantially the same generally harmful condition,” as required to give rise to duty to defend under commercial general liability (CGL) insurance policies, although underlying action also alleged intentional conduct.</w:t>
            </w:r>
          </w:p>
          <w:bookmarkStart w:id="101" w:name="co_headnoteId_2083311327022202503111547"/>
          <w:p>
            <w:pPr>
              <w:spacing w:before="200" w:after="0" w:line="275" w:lineRule="atLeast"/>
              <w:jc w:val="both"/>
            </w:pPr>
            <w:hyperlink r:id="r48">
              <w:r>
                <w:rPr>
                  <w:rFonts w:ascii="Times New Roman" w:hAnsi="Times New Roman"/>
                  <w:color w:val="006fc4"/>
                  <w:sz w:val="20"/>
                </w:rPr>
                <w:t>More cases on this issue</w:t>
              </w:r>
            </w:hyperlink>
          </w:p>
          <w:bookmarkEnd w:id="101"/>
        </w:tc>
      </w:tr>
    </w:tbl>
    <w:p>
      <w:pPr>
        <w:spacing w:before="0" w:after="0" w:line="240" w:lineRule="auto"/>
        <w:rPr>
          <w:sz w:val="20"/>
        </w:rPr>
      </w:pPr>
    </w:p>
    <w:tbl>
      <w:tblPr>
        <w:tblInd w:w="30" w:type="dxa"/>
        <w:tblLayout w:type="fixed"/>
      </w:tblPr>
      <w:tblGrid>
        <w:gridCol w:w="600"/>
        <w:gridCol w:w="4035"/>
      </w:tblGrid>
      <w:bookmarkStart w:id="102" w:name="co_anchor_2083311327023_1"/>
      <w:bookmarkStart w:id="103" w:name="Athens_headnoteCell_F172083311327_1"/>
      <w:bookmarkStart w:id="104" w:name="co_headnotesTable_15_1"/>
      <w:tr>
        <w:tblPrEx/>
        <w:trPr/>
        <w:tc>
          <w:tcPr>
            <w:tcMar>
              <w:left w:w="30" w:type="dxa"/>
              <w:right w:w="30" w:type="dxa"/>
            </w:tcMar>
            <w:vAlign w:val="top"/>
          </w:tcPr>
          <w:p>
            <w:pPr>
              <w:spacing w:before="0" w:after="0" w:line="275" w:lineRule="atLeast"/>
            </w:pPr>
            <w:bookmarkStart w:id="105" w:name="co_anchor_F172083311327_1"/>
            <w:bookmarkStart w:id="106" w:name="co_anchor_headNote_[17]_1"/>
            <w:hyperlink w:anchor="co_pp_HNF17_1">
              <w:r>
                <w:rPr>
                  <w:rFonts w:ascii="Times New Roman" w:hAnsi="Times New Roman"/>
                  <w:b/>
                  <w:color w:val="006fc4"/>
                  <w:sz w:val="20"/>
                  <w:vertAlign w:val="superscript"/>
                </w:rPr>
                <w:t>[17]</w:t>
              </w:r>
            </w:hyperlink>
            <w:bookmarkEnd w:id="106"/>
            <w:bookmarkEnd w:id="105"/>
          </w:p>
        </w:tc>
        <w:tc>
          <w:tcPr>
            <w:tcMar>
              <w:left w:w="30" w:type="dxa"/>
              <w:right w:w="30" w:type="dxa"/>
            </w:tcMar>
            <w:vAlign w:val="top"/>
          </w:tcPr>
          <w:p>
            <w:pPr>
              <w:pBdr>
                <w:bottom w:val="none" w:space="2"/>
              </w:pBdr>
              <w:spacing w:before="0" w:after="0" w:line="275" w:lineRule="atLeast"/>
            </w:pPr>
            <w:hyperlink r:id="r49">
              <w:r>
                <w:rPr>
                  <w:rFonts w:ascii="Times New Roman" w:hAnsi="Times New Roman"/>
                  <w:b/>
                  <w:color w:val="006fc4"/>
                  <w:sz w:val="20"/>
                </w:rPr>
                <w:t>Insurance</w:t>
              </w:r>
            </w:hyperlink>
            <w:r>
              <w:rPr>
                <w:rFonts w:ascii="Times New Roman" w:hAnsi="Times New Roman"/>
                <w:color w:val="1f1f1f"/>
                <w:sz w:val="20"/>
              </w:rPr>
              <w:drawing>
                <wp:inline>
                  <wp:extent cx="133350" cy="76200"/>
                  <wp:docPr id="35" name="Picture 1" descr="Display Key Number Topics"/>
                  <a:graphic>
                    <a:graphicData uri="http://schemas.openxmlformats.org/drawingml/2006/picture">
                      <p:pic>
                        <p:nvPicPr>
                          <p:cNvPr id="36" name="Picture 1" descr="Display Key Number Topics"/>
                          <p:cNvPicPr/>
                        </p:nvPicPr>
                        <p:blipFill>
                          <a:blip r:embed="r12"/>
                          <a:srcRect/>
                          <a:stretch>
                            <a:fillRect/>
                          </a:stretch>
                        </p:blipFill>
                        <p:spPr>
                          <a:xfrm>
                            <a:off x="0" y="0"/>
                            <a:ext cx="133350" cy="76200"/>
                          </a:xfrm>
                          <a:prstGeom prst="rect"/>
                        </p:spPr>
                      </p:pic>
                    </a:graphicData>
                  </a:graphic>
                </wp:inline>
              </w:drawing>
            </w:r>
            <w:hyperlink r:id="r50">
              <w:r>
                <w:rPr>
                  <w:rFonts w:ascii="Times New Roman" w:hAnsi="Times New Roman"/>
                  <w:color w:val="006fc4"/>
                  <w:sz w:val="20"/>
                </w:rPr>
                <w:t>In general;  standard</w:t>
              </w:r>
            </w:hyperlink>
          </w:p>
        </w:tc>
      </w:tr>
      <w:bookmarkEnd w:id="104"/>
      <w:bookmarkEnd w:id="103"/>
      <w:bookmarkEnd w:id="10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insurer's duty to defend is broader than its duty to indemnify; even potential of indemnity triggers duty to defend.</w:t>
            </w:r>
          </w:p>
        </w:tc>
      </w:tr>
    </w:tbl>
    <w:p>
      <w:pPr>
        <w:spacing w:before="0" w:after="0" w:line="240" w:lineRule="auto"/>
        <w:rPr>
          <w:sz w:val="20"/>
        </w:rPr>
      </w:pPr>
    </w:p>
    <w:tbl>
      <w:tblPr>
        <w:tblInd w:w="30" w:type="dxa"/>
        <w:tblLayout w:type="fixed"/>
      </w:tblPr>
      <w:tblGrid>
        <w:gridCol w:w="600"/>
        <w:gridCol w:w="4035"/>
      </w:tblGrid>
      <w:bookmarkStart w:id="107" w:name="co_headnoteId_2083311327023202503111547"/>
      <w:bookmarkStart w:id="108" w:name="co_anchor_2083311327024_1"/>
      <w:bookmarkStart w:id="109" w:name="Athens_headnoteCell_F182083311327_1"/>
      <w:bookmarkStart w:id="110" w:name="co_headnotesTable_16_1"/>
      <w:tr>
        <w:tblPrEx/>
        <w:trPr/>
        <w:tc>
          <w:tcPr>
            <w:tcMar>
              <w:left w:w="30" w:type="dxa"/>
              <w:right w:w="30" w:type="dxa"/>
            </w:tcMar>
            <w:vAlign w:val="top"/>
          </w:tcPr>
          <w:p>
            <w:pPr>
              <w:spacing w:before="0" w:after="0" w:line="275" w:lineRule="atLeast"/>
            </w:pPr>
            <w:bookmarkStart w:id="111" w:name="co_anchor_F182083311327_1"/>
            <w:bookmarkStart w:id="112" w:name="co_anchor_headNote_[18]_1"/>
            <w:hyperlink w:anchor="co_pp_HNF18_1">
              <w:r>
                <w:rPr>
                  <w:rFonts w:ascii="Times New Roman" w:hAnsi="Times New Roman"/>
                  <w:b/>
                  <w:color w:val="006fc4"/>
                  <w:sz w:val="20"/>
                  <w:vertAlign w:val="superscript"/>
                </w:rPr>
                <w:t>[18]</w:t>
              </w:r>
            </w:hyperlink>
            <w:bookmarkEnd w:id="112"/>
            <w:bookmarkEnd w:id="111"/>
          </w:p>
        </w:tc>
        <w:tc>
          <w:tcPr>
            <w:tcMar>
              <w:left w:w="30" w:type="dxa"/>
              <w:right w:w="30" w:type="dxa"/>
            </w:tcMar>
            <w:vAlign w:val="top"/>
          </w:tcPr>
          <w:p>
            <w:pPr>
              <w:pBdr>
                <w:bottom w:val="none" w:space="2"/>
              </w:pBdr>
              <w:spacing w:before="0" w:after="0" w:line="275" w:lineRule="atLeast"/>
            </w:pPr>
            <w:hyperlink r:id="r51">
              <w:r>
                <w:rPr>
                  <w:rFonts w:ascii="Times New Roman" w:hAnsi="Times New Roman"/>
                  <w:b/>
                  <w:color w:val="006fc4"/>
                  <w:sz w:val="20"/>
                </w:rPr>
                <w:t>Insurance</w:t>
              </w:r>
            </w:hyperlink>
            <w:r>
              <w:rPr>
                <w:rFonts w:ascii="Times New Roman" w:hAnsi="Times New Roman"/>
                <w:color w:val="1f1f1f"/>
                <w:sz w:val="20"/>
              </w:rPr>
              <w:drawing>
                <wp:inline>
                  <wp:extent cx="133350" cy="76200"/>
                  <wp:docPr id="37" name="Picture 1" descr="Display Key Number Topics"/>
                  <a:graphic>
                    <a:graphicData uri="http://schemas.openxmlformats.org/drawingml/2006/picture">
                      <p:pic>
                        <p:nvPicPr>
                          <p:cNvPr id="38" name="Picture 1" descr="Display Key Number Topics"/>
                          <p:cNvPicPr/>
                        </p:nvPicPr>
                        <p:blipFill>
                          <a:blip r:embed="r12"/>
                          <a:srcRect/>
                          <a:stretch>
                            <a:fillRect/>
                          </a:stretch>
                        </p:blipFill>
                        <p:spPr>
                          <a:xfrm>
                            <a:off x="0" y="0"/>
                            <a:ext cx="133350" cy="76200"/>
                          </a:xfrm>
                          <a:prstGeom prst="rect"/>
                        </p:spPr>
                      </p:pic>
                    </a:graphicData>
                  </a:graphic>
                </wp:inline>
              </w:drawing>
            </w:r>
            <w:hyperlink r:id="r52">
              <w:r>
                <w:rPr>
                  <w:rFonts w:ascii="Times New Roman" w:hAnsi="Times New Roman"/>
                  <w:color w:val="006fc4"/>
                  <w:sz w:val="20"/>
                </w:rPr>
                <w:t>Several Grounds or Causes of Action</w:t>
              </w:r>
            </w:hyperlink>
          </w:p>
        </w:tc>
      </w:tr>
      <w:bookmarkEnd w:id="110"/>
      <w:bookmarkEnd w:id="109"/>
      <w:bookmarkEnd w:id="108"/>
      <w:bookmarkEnd w:id="10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California law, the duty to defend applies to all claims brought in a single action, even if indemnification is possible only on some claims.</w:t>
            </w:r>
          </w:p>
        </w:tc>
      </w:tr>
    </w:tbl>
    <w:p>
      <w:pPr>
        <w:spacing w:before="0" w:after="0" w:line="240" w:lineRule="auto"/>
        <w:rPr>
          <w:sz w:val="20"/>
        </w:rPr>
      </w:pPr>
    </w:p>
    <w:tbl>
      <w:tblPr>
        <w:tblInd w:w="30" w:type="dxa"/>
        <w:tblLayout w:type="fixed"/>
      </w:tblPr>
      <w:tblGrid>
        <w:gridCol w:w="600"/>
        <w:gridCol w:w="4035"/>
      </w:tblGrid>
      <w:bookmarkStart w:id="113" w:name="co_headnoteId_2083311327024202503111547"/>
      <w:bookmarkStart w:id="114" w:name="co_anchor_2083311327025_1"/>
      <w:bookmarkStart w:id="115" w:name="Athens_headnoteCell_F192083311327_1"/>
      <w:bookmarkStart w:id="116" w:name="co_headnotesTable_17_1"/>
      <w:tr>
        <w:tblPrEx/>
        <w:trPr/>
        <w:tc>
          <w:tcPr>
            <w:tcMar>
              <w:left w:w="30" w:type="dxa"/>
              <w:right w:w="30" w:type="dxa"/>
            </w:tcMar>
            <w:vAlign w:val="top"/>
          </w:tcPr>
          <w:p>
            <w:pPr>
              <w:spacing w:before="0" w:after="0" w:line="275" w:lineRule="atLeast"/>
            </w:pPr>
            <w:bookmarkStart w:id="117" w:name="co_anchor_F192083311327_1"/>
            <w:bookmarkStart w:id="118" w:name="co_anchor_headNote_[19]_1"/>
            <w:hyperlink w:anchor="co_pp_HNF19_1">
              <w:r>
                <w:rPr>
                  <w:rFonts w:ascii="Times New Roman" w:hAnsi="Times New Roman"/>
                  <w:b/>
                  <w:color w:val="006fc4"/>
                  <w:sz w:val="20"/>
                  <w:vertAlign w:val="superscript"/>
                </w:rPr>
                <w:t>[19]</w:t>
              </w:r>
            </w:hyperlink>
            <w:bookmarkEnd w:id="118"/>
            <w:bookmarkEnd w:id="117"/>
          </w:p>
        </w:tc>
        <w:tc>
          <w:tcPr>
            <w:tcMar>
              <w:left w:w="30" w:type="dxa"/>
              <w:right w:w="30" w:type="dxa"/>
            </w:tcMar>
            <w:vAlign w:val="top"/>
          </w:tcPr>
          <w:p>
            <w:pPr>
              <w:pBdr>
                <w:bottom w:val="none" w:space="2"/>
              </w:pBdr>
              <w:spacing w:before="0" w:after="0" w:line="275" w:lineRule="atLeast"/>
            </w:pPr>
            <w:hyperlink r:id="r53">
              <w:r>
                <w:rPr>
                  <w:rFonts w:ascii="Times New Roman" w:hAnsi="Times New Roman"/>
                  <w:b/>
                  <w:color w:val="006fc4"/>
                  <w:sz w:val="20"/>
                </w:rPr>
                <w:t>Summary Judgment</w:t>
              </w:r>
            </w:hyperlink>
            <w:r>
              <w:rPr>
                <w:rFonts w:ascii="Times New Roman" w:hAnsi="Times New Roman"/>
                <w:color w:val="1f1f1f"/>
                <w:sz w:val="20"/>
              </w:rPr>
              <w:drawing>
                <wp:inline>
                  <wp:extent cx="133350" cy="76200"/>
                  <wp:docPr id="39" name="Picture 1" descr="Display Key Number Topics"/>
                  <a:graphic>
                    <a:graphicData uri="http://schemas.openxmlformats.org/drawingml/2006/picture">
                      <p:pic>
                        <p:nvPicPr>
                          <p:cNvPr id="40" name="Picture 1" descr="Display Key Number Topics"/>
                          <p:cNvPicPr/>
                        </p:nvPicPr>
                        <p:blipFill>
                          <a:blip r:embed="r12"/>
                          <a:srcRect/>
                          <a:stretch>
                            <a:fillRect/>
                          </a:stretch>
                        </p:blipFill>
                        <p:spPr>
                          <a:xfrm>
                            <a:off x="0" y="0"/>
                            <a:ext cx="133350" cy="76200"/>
                          </a:xfrm>
                          <a:prstGeom prst="rect"/>
                        </p:spPr>
                      </p:pic>
                    </a:graphicData>
                  </a:graphic>
                </wp:inline>
              </w:drawing>
            </w:r>
            <w:hyperlink r:id="r54">
              <w:r>
                <w:rPr>
                  <w:rFonts w:ascii="Times New Roman" w:hAnsi="Times New Roman"/>
                  <w:color w:val="006fc4"/>
                  <w:sz w:val="20"/>
                </w:rPr>
                <w:t>Continuance</w:t>
              </w:r>
            </w:hyperlink>
          </w:p>
        </w:tc>
      </w:tr>
      <w:bookmarkEnd w:id="116"/>
      <w:bookmarkEnd w:id="115"/>
      <w:bookmarkEnd w:id="114"/>
      <w:bookmarkEnd w:id="11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Insurers’ current subjective understanding of commercial general liability (CGL) insurance policies was not relevant to contract interpretation under California law, and their investigation of allegations in underlying complaints was not relevant to whether pollution exclusion conspicuously, plainly, and clearly apprised insured manufacturer that complaints of discharges, releases, spills, and/or disposals of hazardous materials (PFAS) into city's property, watershed, and water system, and alleging indirect exposure to PFAS via contaminated drinking water, and consequently insured was not entitled to additional discovery on that basis before court ruled on insurers' motion for summary judgment that they were not required to defend underlying cases for either lack of occurrence or pollution exclusion. </w:t>
            </w:r>
            <w:hyperlink r:id="r55">
              <w:r>
                <w:rPr>
                  <w:rFonts w:ascii="Times New Roman" w:hAnsi="Times New Roman"/>
                  <w:color w:val="006fc4"/>
                  <w:sz w:val="20"/>
                </w:rPr>
                <w:t>Fed. R. Civ. P. 56(d)</w:t>
              </w:r>
            </w:hyperlink>
            <w:r>
              <w:rPr>
                <w:rFonts w:ascii="Times New Roman" w:hAnsi="Times New Roman"/>
                <w:color w:val="1f1f1f"/>
                <w:sz w:val="20"/>
              </w:rPr>
              <w:t>.</w:t>
            </w:r>
          </w:p>
          <w:bookmarkStart w:id="119" w:name="co_headnoteId_2083311327025202503111547"/>
          <w:p>
            <w:pPr>
              <w:spacing w:before="200" w:after="0" w:line="275" w:lineRule="atLeast"/>
              <w:jc w:val="both"/>
            </w:pPr>
            <w:hyperlink r:id="r56">
              <w:r>
                <w:rPr>
                  <w:rFonts w:ascii="Times New Roman" w:hAnsi="Times New Roman"/>
                  <w:color w:val="006fc4"/>
                  <w:sz w:val="20"/>
                </w:rPr>
                <w:t>More cases on this issue</w:t>
              </w:r>
            </w:hyperlink>
          </w:p>
          <w:bookmarkEnd w:id="119"/>
        </w:tc>
      </w:tr>
    </w:tbl>
    <w:p>
      <w:pPr>
        <w:spacing w:before="0" w:after="0" w:line="240" w:lineRule="auto"/>
        <w:rPr>
          <w:sz w:val="20"/>
        </w:rPr>
      </w:pPr>
    </w:p>
    <w:tbl>
      <w:tblPr>
        <w:tblInd w:w="30" w:type="dxa"/>
        <w:tblLayout w:type="fixed"/>
      </w:tblPr>
      <w:tblGrid>
        <w:gridCol w:w="600"/>
        <w:gridCol w:w="4035"/>
      </w:tblGrid>
      <w:bookmarkStart w:id="120" w:name="co_anchor_2083311327026_1"/>
      <w:bookmarkStart w:id="121" w:name="Athens_headnoteCell_F202083311327_1"/>
      <w:bookmarkStart w:id="122" w:name="co_headnotesTable_18_1"/>
      <w:tr>
        <w:tblPrEx/>
        <w:trPr/>
        <w:tc>
          <w:tcPr>
            <w:tcMar>
              <w:left w:w="30" w:type="dxa"/>
              <w:right w:w="30" w:type="dxa"/>
            </w:tcMar>
            <w:vAlign w:val="top"/>
          </w:tcPr>
          <w:p>
            <w:pPr>
              <w:spacing w:before="0" w:after="0" w:line="275" w:lineRule="atLeast"/>
            </w:pPr>
            <w:bookmarkStart w:id="123" w:name="co_anchor_F202083311327_1"/>
            <w:bookmarkStart w:id="124" w:name="co_anchor_headNote_[20]_1"/>
            <w:hyperlink w:anchor="co_pp_HNF20_1">
              <w:r>
                <w:rPr>
                  <w:rFonts w:ascii="Times New Roman" w:hAnsi="Times New Roman"/>
                  <w:b/>
                  <w:color w:val="006fc4"/>
                  <w:sz w:val="20"/>
                  <w:vertAlign w:val="superscript"/>
                </w:rPr>
                <w:t>[20]</w:t>
              </w:r>
            </w:hyperlink>
            <w:bookmarkEnd w:id="124"/>
            <w:bookmarkEnd w:id="123"/>
          </w:p>
        </w:tc>
        <w:tc>
          <w:tcPr>
            <w:tcMar>
              <w:left w:w="30" w:type="dxa"/>
              <w:right w:w="30" w:type="dxa"/>
            </w:tcMar>
            <w:vAlign w:val="top"/>
          </w:tcPr>
          <w:p>
            <w:pPr>
              <w:pBdr>
                <w:bottom w:val="none" w:space="2"/>
              </w:pBdr>
              <w:spacing w:before="0" w:after="0" w:line="275" w:lineRule="atLeast"/>
            </w:pPr>
            <w:hyperlink r:id="r57">
              <w:r>
                <w:rPr>
                  <w:rFonts w:ascii="Times New Roman" w:hAnsi="Times New Roman"/>
                  <w:b/>
                  <w:color w:val="006fc4"/>
                  <w:sz w:val="20"/>
                </w:rPr>
                <w:t>Summary Judgment</w:t>
              </w:r>
            </w:hyperlink>
            <w:r>
              <w:rPr>
                <w:rFonts w:ascii="Times New Roman" w:hAnsi="Times New Roman"/>
                <w:color w:val="1f1f1f"/>
                <w:sz w:val="20"/>
              </w:rPr>
              <w:drawing>
                <wp:inline>
                  <wp:extent cx="133350" cy="76200"/>
                  <wp:docPr id="41" name="Picture 1" descr="Display Key Number Topics"/>
                  <a:graphic>
                    <a:graphicData uri="http://schemas.openxmlformats.org/drawingml/2006/picture">
                      <p:pic>
                        <p:nvPicPr>
                          <p:cNvPr id="42" name="Picture 1" descr="Display Key Number Topics"/>
                          <p:cNvPicPr/>
                        </p:nvPicPr>
                        <p:blipFill>
                          <a:blip r:embed="r12"/>
                          <a:srcRect/>
                          <a:stretch>
                            <a:fillRect/>
                          </a:stretch>
                        </p:blipFill>
                        <p:spPr>
                          <a:xfrm>
                            <a:off x="0" y="0"/>
                            <a:ext cx="133350" cy="76200"/>
                          </a:xfrm>
                          <a:prstGeom prst="rect"/>
                        </p:spPr>
                      </p:pic>
                    </a:graphicData>
                  </a:graphic>
                </wp:inline>
              </w:drawing>
            </w:r>
            <w:hyperlink r:id="r58">
              <w:r>
                <w:rPr>
                  <w:rFonts w:ascii="Times New Roman" w:hAnsi="Times New Roman"/>
                  <w:color w:val="006fc4"/>
                  <w:sz w:val="20"/>
                </w:rPr>
                <w:t>Continuance</w:t>
              </w:r>
            </w:hyperlink>
          </w:p>
        </w:tc>
      </w:tr>
      <w:bookmarkEnd w:id="122"/>
      <w:bookmarkEnd w:id="121"/>
      <w:bookmarkEnd w:id="12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Additional discovery generally should be freely granted, but the non-movant must identify specific facts that are essential to its opposition. </w:t>
            </w:r>
            <w:hyperlink r:id="r59">
              <w:r>
                <w:rPr>
                  <w:rFonts w:ascii="Times New Roman" w:hAnsi="Times New Roman"/>
                  <w:color w:val="006fc4"/>
                  <w:sz w:val="20"/>
                </w:rPr>
                <w:t>Fed. R. Civ. P. 56(d)</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125" w:name="co_headnoteId_2083311327026202503111547"/>
      <w:bookmarkStart w:id="126" w:name="co_anchor_2083311327027_1"/>
      <w:bookmarkStart w:id="127" w:name="Athens_headnoteCell_F212083311327_1"/>
      <w:bookmarkStart w:id="128" w:name="co_headnotesTable_19_1"/>
      <w:tr>
        <w:tblPrEx/>
        <w:trPr/>
        <w:tc>
          <w:tcPr>
            <w:tcMar>
              <w:left w:w="30" w:type="dxa"/>
              <w:right w:w="30" w:type="dxa"/>
            </w:tcMar>
            <w:vAlign w:val="top"/>
          </w:tcPr>
          <w:p>
            <w:pPr>
              <w:spacing w:before="0" w:after="0" w:line="275" w:lineRule="atLeast"/>
            </w:pPr>
            <w:bookmarkStart w:id="129" w:name="co_anchor_F212083311327_1"/>
            <w:bookmarkStart w:id="130" w:name="co_anchor_headNote_[21]_1"/>
            <w:hyperlink w:anchor="co_pp_HNF21_1">
              <w:r>
                <w:rPr>
                  <w:rFonts w:ascii="Times New Roman" w:hAnsi="Times New Roman"/>
                  <w:b/>
                  <w:color w:val="006fc4"/>
                  <w:sz w:val="20"/>
                  <w:vertAlign w:val="superscript"/>
                </w:rPr>
                <w:t>[21]</w:t>
              </w:r>
            </w:hyperlink>
            <w:bookmarkEnd w:id="130"/>
            <w:bookmarkEnd w:id="129"/>
          </w:p>
        </w:tc>
        <w:tc>
          <w:tcPr>
            <w:tcMar>
              <w:left w:w="30" w:type="dxa"/>
              <w:right w:w="30" w:type="dxa"/>
            </w:tcMar>
            <w:vAlign w:val="top"/>
          </w:tcPr>
          <w:p>
            <w:pPr>
              <w:pBdr>
                <w:bottom w:val="none" w:space="2"/>
              </w:pBdr>
              <w:spacing w:before="0" w:after="0" w:line="275" w:lineRule="atLeast"/>
            </w:pPr>
            <w:hyperlink r:id="r60">
              <w:r>
                <w:rPr>
                  <w:rFonts w:ascii="Times New Roman" w:hAnsi="Times New Roman"/>
                  <w:b/>
                  <w:color w:val="006fc4"/>
                  <w:sz w:val="20"/>
                </w:rPr>
                <w:t>Insurance</w:t>
              </w:r>
            </w:hyperlink>
            <w:r>
              <w:rPr>
                <w:rFonts w:ascii="Times New Roman" w:hAnsi="Times New Roman"/>
                <w:color w:val="1f1f1f"/>
                <w:sz w:val="20"/>
              </w:rPr>
              <w:drawing>
                <wp:inline>
                  <wp:extent cx="133350" cy="76200"/>
                  <wp:docPr id="43" name="Picture 1" descr="Display Key Number Topics"/>
                  <a:graphic>
                    <a:graphicData uri="http://schemas.openxmlformats.org/drawingml/2006/picture">
                      <p:pic>
                        <p:nvPicPr>
                          <p:cNvPr id="44" name="Picture 1" descr="Display Key Number Topics"/>
                          <p:cNvPicPr/>
                        </p:nvPicPr>
                        <p:blipFill>
                          <a:blip r:embed="r12"/>
                          <a:srcRect/>
                          <a:stretch>
                            <a:fillRect/>
                          </a:stretch>
                        </p:blipFill>
                        <p:spPr>
                          <a:xfrm>
                            <a:off x="0" y="0"/>
                            <a:ext cx="133350" cy="76200"/>
                          </a:xfrm>
                          <a:prstGeom prst="rect"/>
                        </p:spPr>
                      </p:pic>
                    </a:graphicData>
                  </a:graphic>
                </wp:inline>
              </w:drawing>
            </w:r>
            <w:hyperlink r:id="r61">
              <w:r>
                <w:rPr>
                  <w:rFonts w:ascii="Times New Roman" w:hAnsi="Times New Roman"/>
                  <w:color w:val="006fc4"/>
                  <w:sz w:val="20"/>
                </w:rPr>
                <w:t>Pollution</w:t>
              </w:r>
            </w:hyperlink>
          </w:p>
        </w:tc>
      </w:tr>
      <w:bookmarkEnd w:id="128"/>
      <w:bookmarkEnd w:id="127"/>
      <w:bookmarkEnd w:id="126"/>
      <w:bookmarkEnd w:id="12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Complaints in underlying action against manufacturer insured under commercial general liability (CGL) insurance policy, alleging widespread contamination of water systems and water shed with chemicals, alleged environmental pollution, as required for pollution exclusion to apply to them under California law; although harm ultimately was traceable to firefighter's use of manufacturer's per-and poly-fluoroalkyl substances (PFAS) products, contact with harmful materials via general environmental exposure generally was understood as pollution, prevalence and harmful effects of PFAS, known as forever chemicals, had been topic of investigation for years, and their introduction into drinking water and environment was known as pollution.</w:t>
            </w:r>
          </w:p>
          <w:bookmarkStart w:id="131" w:name="co_headnoteId_2083311327027202503111547"/>
          <w:p>
            <w:pPr>
              <w:spacing w:before="200" w:after="0" w:line="275" w:lineRule="atLeast"/>
              <w:jc w:val="both"/>
            </w:pPr>
            <w:hyperlink r:id="r62">
              <w:r>
                <w:rPr>
                  <w:rFonts w:ascii="Times New Roman" w:hAnsi="Times New Roman"/>
                  <w:color w:val="006fc4"/>
                  <w:sz w:val="20"/>
                </w:rPr>
                <w:t>More cases on this issue</w:t>
              </w:r>
            </w:hyperlink>
          </w:p>
          <w:bookmarkEnd w:id="131"/>
        </w:tc>
      </w:tr>
    </w:tbl>
    <w:p>
      <w:pPr>
        <w:spacing w:before="0" w:after="0" w:line="240" w:lineRule="auto"/>
        <w:rPr>
          <w:sz w:val="20"/>
        </w:rPr>
      </w:pPr>
    </w:p>
    <w:tbl>
      <w:tblPr>
        <w:tblInd w:w="30" w:type="dxa"/>
        <w:tblLayout w:type="fixed"/>
      </w:tblPr>
      <w:tblGrid>
        <w:gridCol w:w="600"/>
        <w:gridCol w:w="4035"/>
      </w:tblGrid>
      <w:bookmarkStart w:id="132" w:name="co_anchor_2083311327031_1"/>
      <w:bookmarkStart w:id="133" w:name="Athens_headnoteCell_F222083311327_1"/>
      <w:bookmarkStart w:id="134" w:name="co_headnotesTable_20_1"/>
      <w:tr>
        <w:tblPrEx/>
        <w:trPr/>
        <w:tc>
          <w:tcPr>
            <w:tcMar>
              <w:left w:w="30" w:type="dxa"/>
              <w:right w:w="30" w:type="dxa"/>
            </w:tcMar>
            <w:vAlign w:val="top"/>
          </w:tcPr>
          <w:p>
            <w:pPr>
              <w:spacing w:before="0" w:after="0" w:line="275" w:lineRule="atLeast"/>
            </w:pPr>
            <w:bookmarkStart w:id="135" w:name="co_anchor_F222083311327_1"/>
            <w:bookmarkStart w:id="136" w:name="co_anchor_headNote_[22]_1"/>
            <w:hyperlink w:anchor="co_pp_HNF22_1">
              <w:r>
                <w:rPr>
                  <w:rFonts w:ascii="Times New Roman" w:hAnsi="Times New Roman"/>
                  <w:b/>
                  <w:color w:val="006fc4"/>
                  <w:sz w:val="20"/>
                  <w:vertAlign w:val="superscript"/>
                </w:rPr>
                <w:t>[22]</w:t>
              </w:r>
            </w:hyperlink>
            <w:bookmarkEnd w:id="136"/>
            <w:bookmarkEnd w:id="135"/>
          </w:p>
        </w:tc>
        <w:tc>
          <w:tcPr>
            <w:tcMar>
              <w:left w:w="30" w:type="dxa"/>
              <w:right w:w="30" w:type="dxa"/>
            </w:tcMar>
            <w:vAlign w:val="top"/>
          </w:tcPr>
          <w:p>
            <w:pPr>
              <w:pBdr>
                <w:bottom w:val="none" w:space="2"/>
              </w:pBdr>
              <w:spacing w:before="0" w:after="0" w:line="275" w:lineRule="atLeast"/>
            </w:pPr>
            <w:hyperlink r:id="r63">
              <w:r>
                <w:rPr>
                  <w:rFonts w:ascii="Times New Roman" w:hAnsi="Times New Roman"/>
                  <w:b/>
                  <w:color w:val="006fc4"/>
                  <w:sz w:val="20"/>
                </w:rPr>
                <w:t>Insurance</w:t>
              </w:r>
            </w:hyperlink>
            <w:r>
              <w:rPr>
                <w:rFonts w:ascii="Times New Roman" w:hAnsi="Times New Roman"/>
                <w:color w:val="1f1f1f"/>
                <w:sz w:val="20"/>
              </w:rPr>
              <w:drawing>
                <wp:inline>
                  <wp:extent cx="133350" cy="76200"/>
                  <wp:docPr id="45" name="Picture 1" descr="Display Key Number Topics"/>
                  <a:graphic>
                    <a:graphicData uri="http://schemas.openxmlformats.org/drawingml/2006/picture">
                      <p:pic>
                        <p:nvPicPr>
                          <p:cNvPr id="46" name="Picture 1" descr="Display Key Number Topics"/>
                          <p:cNvPicPr/>
                        </p:nvPicPr>
                        <p:blipFill>
                          <a:blip r:embed="r12"/>
                          <a:srcRect/>
                          <a:stretch>
                            <a:fillRect/>
                          </a:stretch>
                        </p:blipFill>
                        <p:spPr>
                          <a:xfrm>
                            <a:off x="0" y="0"/>
                            <a:ext cx="133350" cy="76200"/>
                          </a:xfrm>
                          <a:prstGeom prst="rect"/>
                        </p:spPr>
                      </p:pic>
                    </a:graphicData>
                  </a:graphic>
                </wp:inline>
              </w:drawing>
            </w:r>
            <w:hyperlink r:id="r64">
              <w:r>
                <w:rPr>
                  <w:rFonts w:ascii="Times New Roman" w:hAnsi="Times New Roman"/>
                  <w:color w:val="006fc4"/>
                  <w:sz w:val="20"/>
                </w:rPr>
                <w:t>Pollution</w:t>
              </w:r>
            </w:hyperlink>
          </w:p>
        </w:tc>
      </w:tr>
      <w:bookmarkEnd w:id="134"/>
      <w:bookmarkEnd w:id="133"/>
      <w:bookmarkEnd w:id="13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Pollution exclusion, stating that commercial general liability (CGL) insurance policy did not apply to injuries that “would not have occurred in whole or part but for the actual, alleged or threatened discharge, dispersal, seepage, migration, release or escape of pollutants at any time,” where pollutants meant “any solid, liquid, gaseous or thermal irritant or contaminant, including smoke, vapor, soot, fumes, acids, alkalis, chemicals, and waste,” served its notice function for that type of alleged harm, and therefore it was not ambiguous under California law.</w:t>
            </w:r>
          </w:p>
          <w:bookmarkStart w:id="137" w:name="co_headnoteId_2083311327031202503111547"/>
          <w:p>
            <w:pPr>
              <w:spacing w:before="200" w:after="0" w:line="275" w:lineRule="atLeast"/>
              <w:jc w:val="both"/>
            </w:pPr>
            <w:hyperlink r:id="r65">
              <w:r>
                <w:rPr>
                  <w:rFonts w:ascii="Times New Roman" w:hAnsi="Times New Roman"/>
                  <w:color w:val="006fc4"/>
                  <w:sz w:val="20"/>
                </w:rPr>
                <w:t>More cases on this issue</w:t>
              </w:r>
            </w:hyperlink>
          </w:p>
          <w:bookmarkEnd w:id="137"/>
        </w:tc>
      </w:tr>
    </w:tbl>
    <w:p>
      <w:pPr>
        <w:pBdr>
          <w:top w:val="none" w:space="4"/>
        </w:pBdr>
        <w:spacing w:before="200" w:after="0" w:line="275" w:lineRule="atLeast"/>
        <w:jc w:val="both"/>
      </w:pPr>
      <w:bookmarkStart w:id="138" w:name="co_headnotesEnd_1"/>
      <w:bookmarkEnd w:id="138"/>
    </w:p>
    <w:bookmarkStart w:id="139" w:name="co_attorneysAndLawFirms_1"/>
    <w:p>
      <w:pPr>
        <w:keepNext/>
        <w:keepLines/>
        <w:spacing w:before="200" w:after="0" w:line="275" w:lineRule="atLeast"/>
        <w:jc w:val="both"/>
      </w:pPr>
      <w:r>
        <w:rPr>
          <w:rFonts w:ascii="Times New Roman" w:hAnsi="Times New Roman"/>
          <w:b/>
          <w:color w:val="212121"/>
          <w:sz w:val="20"/>
        </w:rPr>
        <w:t>Attorneys and Law Firms</w:t>
      </w:r>
    </w:p>
    <w:bookmarkEnd w:id="139"/>
    <w:p>
      <w:pPr>
        <w:spacing w:before="200" w:after="0" w:line="275" w:lineRule="atLeast"/>
        <w:jc w:val="both"/>
      </w:pPr>
      <w:hyperlink r:id="r66">
        <w:r>
          <w:rPr>
            <w:rFonts w:ascii="Times New Roman" w:hAnsi="Times New Roman"/>
            <w:color w:val="006fc4"/>
            <w:sz w:val="20"/>
          </w:rPr>
          <w:t>Blake Edward Williams</w:t>
        </w:r>
      </w:hyperlink>
      <w:r>
        <w:rPr>
          <w:rFonts w:ascii="Times New Roman" w:hAnsi="Times New Roman"/>
          <w:color w:val="1f1f1f"/>
          <w:sz w:val="20"/>
        </w:rPr>
        <w:t xml:space="preserve">, </w:t>
      </w:r>
      <w:hyperlink r:id="r67">
        <w:r>
          <w:rPr>
            <w:rFonts w:ascii="Times New Roman" w:hAnsi="Times New Roman"/>
            <w:color w:val="006fc4"/>
            <w:sz w:val="20"/>
          </w:rPr>
          <w:t>Eric Keith Larson</w:t>
        </w:r>
      </w:hyperlink>
      <w:r>
        <w:rPr>
          <w:rFonts w:ascii="Times New Roman" w:hAnsi="Times New Roman"/>
          <w:color w:val="1f1f1f"/>
          <w:sz w:val="20"/>
        </w:rPr>
        <w:t xml:space="preserve">, </w:t>
      </w:r>
      <w:hyperlink r:id="r68">
        <w:r>
          <w:rPr>
            <w:rFonts w:ascii="Times New Roman" w:hAnsi="Times New Roman"/>
            <w:color w:val="006fc4"/>
            <w:sz w:val="20"/>
          </w:rPr>
          <w:t>Ryan Hideki Opgenorth</w:t>
        </w:r>
      </w:hyperlink>
      <w:r>
        <w:rPr>
          <w:rFonts w:ascii="Times New Roman" w:hAnsi="Times New Roman"/>
          <w:color w:val="1f1f1f"/>
          <w:sz w:val="20"/>
        </w:rPr>
        <w:t xml:space="preserve">, </w:t>
      </w:r>
      <w:hyperlink r:id="r69">
        <w:r>
          <w:rPr>
            <w:rFonts w:ascii="Times New Roman" w:hAnsi="Times New Roman"/>
            <w:color w:val="006fc4"/>
            <w:sz w:val="20"/>
          </w:rPr>
          <w:t>Philip Landsdale Pillsbury, Jr.</w:t>
        </w:r>
      </w:hyperlink>
      <w:r>
        <w:rPr>
          <w:rFonts w:ascii="Times New Roman" w:hAnsi="Times New Roman"/>
          <w:color w:val="1f1f1f"/>
          <w:sz w:val="20"/>
        </w:rPr>
        <w:t xml:space="preserve">, Pillsbury &amp; Coleman, LLP, San Francisco, CA, </w:t>
      </w:r>
      <w:hyperlink r:id="r70">
        <w:r>
          <w:rPr>
            <w:rFonts w:ascii="Times New Roman" w:hAnsi="Times New Roman"/>
            <w:color w:val="006fc4"/>
            <w:sz w:val="20"/>
          </w:rPr>
          <w:t>Miguel Aristizabal</w:t>
        </w:r>
      </w:hyperlink>
      <w:r>
        <w:rPr>
          <w:rFonts w:ascii="Times New Roman" w:hAnsi="Times New Roman"/>
          <w:color w:val="1f1f1f"/>
          <w:sz w:val="20"/>
        </w:rPr>
        <w:t xml:space="preserve">, Pro Hac Vice, </w:t>
      </w:r>
      <w:hyperlink r:id="r71">
        <w:r>
          <w:rPr>
            <w:rFonts w:ascii="Times New Roman" w:hAnsi="Times New Roman"/>
            <w:color w:val="006fc4"/>
            <w:sz w:val="20"/>
          </w:rPr>
          <w:t>William Renden Clayton</w:t>
        </w:r>
      </w:hyperlink>
      <w:r>
        <w:rPr>
          <w:rFonts w:ascii="Times New Roman" w:hAnsi="Times New Roman"/>
          <w:color w:val="1f1f1f"/>
          <w:sz w:val="20"/>
        </w:rPr>
        <w:t>, Pro Hac Vice, Clayton Trial Lawyers PLLC, Fort Lauderdale, FL, for Plaintiff.</w:t>
      </w:r>
    </w:p>
    <w:p>
      <w:pPr>
        <w:spacing w:before="200" w:after="0" w:line="275" w:lineRule="atLeast"/>
        <w:jc w:val="both"/>
      </w:pPr>
      <w:hyperlink r:id="r72">
        <w:r>
          <w:rPr>
            <w:rFonts w:ascii="Times New Roman" w:hAnsi="Times New Roman"/>
            <w:color w:val="006fc4"/>
            <w:sz w:val="20"/>
          </w:rPr>
          <w:t>Nicole Edmond Chammas</w:t>
        </w:r>
      </w:hyperlink>
      <w:r>
        <w:rPr>
          <w:rFonts w:ascii="Times New Roman" w:hAnsi="Times New Roman"/>
          <w:color w:val="1f1f1f"/>
          <w:sz w:val="20"/>
        </w:rPr>
        <w:t xml:space="preserve">, Pro Hac Vice, </w:t>
      </w:r>
      <w:hyperlink r:id="r73">
        <w:r>
          <w:rPr>
            <w:rFonts w:ascii="Times New Roman" w:hAnsi="Times New Roman"/>
            <w:color w:val="006fc4"/>
            <w:sz w:val="20"/>
          </w:rPr>
          <w:t>Matthew John Antonelli</w:t>
        </w:r>
      </w:hyperlink>
      <w:r>
        <w:rPr>
          <w:rFonts w:ascii="Times New Roman" w:hAnsi="Times New Roman"/>
          <w:color w:val="1f1f1f"/>
          <w:sz w:val="20"/>
        </w:rPr>
        <w:t xml:space="preserve">, Saul Ewing LLP, Washington, DC, </w:t>
      </w:r>
      <w:hyperlink r:id="r74">
        <w:r>
          <w:rPr>
            <w:rFonts w:ascii="Times New Roman" w:hAnsi="Times New Roman"/>
            <w:color w:val="006fc4"/>
            <w:sz w:val="20"/>
          </w:rPr>
          <w:t>Tricia Marie Duffy</w:t>
        </w:r>
      </w:hyperlink>
      <w:r>
        <w:rPr>
          <w:rFonts w:ascii="Times New Roman" w:hAnsi="Times New Roman"/>
          <w:color w:val="1f1f1f"/>
          <w:sz w:val="20"/>
        </w:rPr>
        <w:t>, Pro Hac Vice, Saul Ewing LLP, Philadelphia, PA, for Defendant.</w:t>
      </w:r>
    </w:p>
    <w:bookmarkStart w:id="140" w:name="co_opinion_1"/>
    <w:bookmarkStart w:id="141" w:name="co_anchor_I0f1a78e2feba11ef9eabfecdde2d"/>
    <w:bookmarkStart w:id="142" w:name="co_anchor_I0f361731feba11ef9eabfecdde2d"/>
    <w:bookmarkStart w:id="143" w:name="co_anchor_I0f361731feba11ef9eabfecdd2"/>
    <w:p>
      <w:pPr>
        <w:spacing w:before="800" w:after="0" w:line="275" w:lineRule="atLeast"/>
        <w:jc w:val="center"/>
      </w:pPr>
      <w:r>
        <w:rPr>
          <w:rFonts w:ascii="Times New Roman" w:hAnsi="Times New Roman"/>
          <w:b/>
          <w:color w:val="1f1f1f"/>
          <w:sz w:val="20"/>
        </w:rPr>
        <w:t>ORDER GRANTING IN PART AND DENYING IN PART PLAINTIFF'S PARTIAL MOTION FOR SUMMARY JUDGMENT; GRANTING IN PART AND DENYING IN PART DEFENDANT'S CROSS-MOTION FOR PARTIAL SUMMARY JUDGMENT</w:t>
      </w:r>
    </w:p>
    <w:bookmarkEnd w:id="143"/>
    <w:bookmarkEnd w:id="142"/>
    <w:bookmarkEnd w:id="141"/>
    <w:bookmarkEnd w:id="140"/>
    <w:p>
      <w:pPr>
        <w:spacing w:before="600" w:after="0" w:line="275" w:lineRule="atLeast"/>
        <w:jc w:val="center"/>
      </w:pPr>
      <w:r>
        <w:rPr>
          <w:rFonts w:ascii="Times New Roman" w:hAnsi="Times New Roman"/>
          <w:color w:val="1f1f1f"/>
          <w:sz w:val="20"/>
        </w:rPr>
        <w:t>Re: ECF Nos. 97, 115</w:t>
      </w:r>
    </w:p>
    <w:p>
      <w:pPr>
        <w:spacing w:before="400" w:after="0" w:line="275" w:lineRule="atLeast"/>
        <w:jc w:val="both"/>
      </w:pPr>
      <w:hyperlink r:id="r75">
        <w:r>
          <w:rPr>
            <w:rFonts w:ascii="Times New Roman" w:hAnsi="Times New Roman"/>
            <w:color w:val="006fc4"/>
            <w:sz w:val="20"/>
          </w:rPr>
          <w:t>LAUREL BEELER</w:t>
        </w:r>
      </w:hyperlink>
      <w:r>
        <w:rPr>
          <w:rFonts w:ascii="Times New Roman" w:hAnsi="Times New Roman"/>
          <w:color w:val="1f1f1f"/>
          <w:sz w:val="20"/>
        </w:rPr>
        <w:t>, United States Magistrate Judge</w:t>
      </w:r>
    </w:p>
    <w:bookmarkStart w:id="144" w:name="co_anchor_I0f366551feba11ef9eabfecdde2d"/>
    <w:p>
      <w:pPr>
        <w:spacing w:before="600" w:after="0" w:line="275" w:lineRule="atLeast"/>
        <w:jc w:val="center"/>
      </w:pPr>
      <w:r>
        <w:rPr>
          <w:rFonts w:ascii="Times New Roman" w:hAnsi="Times New Roman"/>
          <w:b/>
          <w:color w:val="1f1f1f"/>
          <w:sz w:val="20"/>
        </w:rPr>
        <w:t>INTRODUCTION</w:t>
      </w:r>
    </w:p>
    <w:bookmarkEnd w:id="144"/>
    <w:p>
      <w:pPr>
        <w:spacing w:before="200" w:after="0" w:line="275" w:lineRule="atLeast"/>
        <w:jc w:val="both"/>
      </w:pPr>
      <w:bookmarkStart w:id="145" w:name="co_pp_sp_999_1_1"/>
      <w:r>
        <w:rPr>
          <w:rFonts w:ascii="Times New Roman" w:hAnsi="Times New Roman"/>
          <w:b/>
          <w:color w:val="000000"/>
          <w:sz w:val="20"/>
        </w:rPr>
        <w:t>*1</w:t>
      </w:r>
      <w:bookmarkEnd w:id="145"/>
      <w:r>
        <w:rPr>
          <w:rFonts w:ascii="Times New Roman" w:hAnsi="Times New Roman"/>
          <w:color w:val="1f1f1f"/>
          <w:sz w:val="20"/>
        </w:rPr>
        <w:t xml:space="preserve"> This case is about whether Zurich American Insurance Company, XL Insurance America, and Commerce and Industry Company (together, the carriers) must defend National Foam against claims arising from per- and polyfluoroalkyl substances (PFAS) in its Aqueous Film-Forming Foam products. Thousands of plaintiffs have sued National Foam, with most cases consolidated into a multidistrict litigation in the District of South Carolina. Some plaintiffs allege indirect exposure to PFAS — such as from contaminated drinking water — while others, like firefighters, allege direct exposure to PFAS from using National Foam's fire-extinguishing products.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National Foam moves for summary judgment that the carriers are obligated to defend all direct-exposure claims, including at least 182 identified cases. The carriers oppose and seek summary judgment in their favor on three exemplar cases: Allen, Newburgh, and Bates.</w:t>
      </w:r>
      <w:bookmarkStart w:id="146" w:name="co_fnRef_B00012083311327_ID0EGKBG_1"/>
      <w:hyperlink w:anchor="co_footnote_B00012083311327_1">
        <w:r>
          <w:rPr>
            <w:rFonts w:ascii="Times New Roman" w:hAnsi="Times New Roman"/>
            <w:color w:val="006fc4"/>
            <w:sz w:val="16"/>
            <w:vertAlign w:val="superscript"/>
          </w:rPr>
          <w:t>1</w:t>
        </w:r>
      </w:hyperlink>
      <w:bookmarkEnd w:id="146"/>
      <w:r>
        <w:rPr>
          <w:rFonts w:ascii="Times New Roman" w:hAnsi="Times New Roman"/>
          <w:color w:val="1f1f1f"/>
          <w:sz w:val="20"/>
        </w:rPr>
        <w:t xml:space="preserve"> National Foam's motion is denied in part because it has not met its burden to establish that all 182 cases fall within the policy. It is, however, entitled to summary judgement on one of the 182 cases — Allen — because there is a potential for indemnification. The carriers’ motion is granted for the two remaining cases because the pollution exception bars coverage.</w:t>
      </w:r>
    </w:p>
    <w:p>
      <w:pPr>
        <w:spacing w:before="0" w:after="0" w:line="275" w:lineRule="atLeast"/>
        <w:jc w:val="both"/>
      </w:pPr>
      <w:r>
        <w:rPr>
          <w:rFonts w:ascii="Times New Roman" w:hAnsi="Times New Roman"/>
          <w:color w:val="1f1f1f"/>
          <w:sz w:val="20"/>
        </w:rPr>
        <w:t> </w:t>
      </w:r>
    </w:p>
    <w:bookmarkStart w:id="147" w:name="co_anchor_I0f37c4e1feba11ef9eabfecdde2d"/>
    <w:p>
      <w:pPr>
        <w:spacing w:before="400" w:after="0" w:line="275" w:lineRule="atLeast"/>
        <w:jc w:val="center"/>
      </w:pPr>
      <w:r>
        <w:rPr>
          <w:rFonts w:ascii="Times New Roman" w:hAnsi="Times New Roman"/>
          <w:b/>
          <w:color w:val="1f1f1f"/>
          <w:sz w:val="20"/>
        </w:rPr>
        <w:t>STATEMENT</w:t>
      </w:r>
    </w:p>
    <w:bookmarkEnd w:id="147"/>
    <w:p>
      <w:pPr>
        <w:spacing w:before="200" w:after="0" w:line="275" w:lineRule="atLeast"/>
        <w:jc w:val="both"/>
      </w:pPr>
      <w:r>
        <w:rPr>
          <w:rFonts w:ascii="Times New Roman" w:hAnsi="Times New Roman"/>
          <w:color w:val="1f1f1f"/>
          <w:sz w:val="20"/>
        </w:rPr>
        <w:t>The carriers provided National Foam with Commercial General Liability insurance. The agreements span four policies, which require the carriers to defend National Foam against certain claims for bodily injury or property damage. For the obligation to apply, at least the following conditions must be met:</w:t>
      </w:r>
    </w:p>
    <w:p>
      <w:pPr>
        <w:spacing w:before="200" w:after="0" w:line="275" w:lineRule="atLeast"/>
        <w:ind w:left="400" w:right="0" w:hanging="200"/>
        <w:jc w:val="both"/>
      </w:pPr>
      <w:r>
        <w:rPr>
          <w:rFonts w:ascii="Times New Roman" w:hAnsi="Times New Roman"/>
          <w:color w:val="1f1f1f"/>
          <w:sz w:val="20"/>
        </w:rPr>
        <w:t>(1) The bodily injury or property damage must be caused by an occurrence, which is defined as “an accident, including continuous or repeated exposure to substantially the same general harmful conditions.” For products liability, injuries resulting from the same defect in the product shall be deemed to arise out of the same occurrence.</w:t>
      </w:r>
      <w:bookmarkStart w:id="148" w:name="co_fnRef_B00022083311327_ID0E3MBG_1"/>
      <w:hyperlink w:anchor="co_footnote_B00022083311327_1">
        <w:r>
          <w:rPr>
            <w:rFonts w:ascii="Times New Roman" w:hAnsi="Times New Roman"/>
            <w:color w:val="006fc4"/>
            <w:sz w:val="16"/>
            <w:vertAlign w:val="superscript"/>
          </w:rPr>
          <w:t>2</w:t>
        </w:r>
      </w:hyperlink>
      <w:bookmarkEnd w:id="148"/>
    </w:p>
    <w:p>
      <w:pPr>
        <w:spacing w:before="200" w:after="0" w:line="275" w:lineRule="atLeast"/>
        <w:ind w:left="400" w:right="0" w:hanging="200"/>
        <w:jc w:val="both"/>
      </w:pPr>
      <w:r>
        <w:rPr>
          <w:rFonts w:ascii="Times New Roman" w:hAnsi="Times New Roman"/>
          <w:color w:val="1f1f1f"/>
          <w:sz w:val="20"/>
        </w:rPr>
        <w:t>(2) The injury must occur within the coverage period.</w:t>
      </w:r>
      <w:bookmarkStart w:id="149" w:name="co_fnRef_B00032083311327_ID0ELNBG_1"/>
      <w:hyperlink w:anchor="co_footnote_B00032083311327_1">
        <w:r>
          <w:rPr>
            <w:rFonts w:ascii="Times New Roman" w:hAnsi="Times New Roman"/>
            <w:color w:val="006fc4"/>
            <w:sz w:val="16"/>
            <w:vertAlign w:val="superscript"/>
          </w:rPr>
          <w:t>3</w:t>
        </w:r>
      </w:hyperlink>
      <w:bookmarkEnd w:id="149"/>
    </w:p>
    <w:p>
      <w:pPr>
        <w:spacing w:before="200" w:after="0" w:line="275" w:lineRule="atLeast"/>
        <w:ind w:left="400" w:right="0" w:hanging="200"/>
        <w:jc w:val="both"/>
      </w:pPr>
      <w:r>
        <w:rPr>
          <w:rFonts w:ascii="Times New Roman" w:hAnsi="Times New Roman"/>
          <w:color w:val="1f1f1f"/>
          <w:sz w:val="20"/>
        </w:rPr>
        <w:t>(3) National Foam must be legally obligated to pay damages if the claim is successful.</w:t>
      </w:r>
      <w:bookmarkStart w:id="150" w:name="co_fnRef_B00042083311327_ID0E1NBG_1"/>
      <w:hyperlink w:anchor="co_footnote_B00042083311327_1">
        <w:r>
          <w:rPr>
            <w:rFonts w:ascii="Times New Roman" w:hAnsi="Times New Roman"/>
            <w:color w:val="006fc4"/>
            <w:sz w:val="16"/>
            <w:vertAlign w:val="superscript"/>
          </w:rPr>
          <w:t>4</w:t>
        </w:r>
      </w:hyperlink>
      <w:bookmarkEnd w:id="150"/>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There are also exceptions, including one for pollution. The policies do not apply where the alleged injuries “would not have occurred in whole or part but for the actual, alleged or threatened discharge, dispersal, seepage, migration, release or escape of ‘pollutants’ at any time.”</w:t>
      </w:r>
      <w:bookmarkStart w:id="151" w:name="co_fnRef_B00052083311327_ID0E6PBG_1"/>
      <w:hyperlink w:anchor="co_footnote_B00052083311327_1">
        <w:r>
          <w:rPr>
            <w:rFonts w:ascii="Times New Roman" w:hAnsi="Times New Roman"/>
            <w:color w:val="006fc4"/>
            <w:sz w:val="16"/>
            <w:vertAlign w:val="superscript"/>
          </w:rPr>
          <w:t>5</w:t>
        </w:r>
      </w:hyperlink>
      <w:bookmarkEnd w:id="151"/>
      <w:r>
        <w:rPr>
          <w:rFonts w:ascii="Times New Roman" w:hAnsi="Times New Roman"/>
          <w:color w:val="1f1f1f"/>
          <w:sz w:val="20"/>
        </w:rPr>
        <w:t xml:space="preserve"> Pollutants means “any solid, liquid, gaseous or thermal irritant or contaminant, including smoke, vapor, soot, fumes, acids, alkalis, chemicals, and waste.”</w:t>
      </w:r>
      <w:bookmarkStart w:id="152" w:name="co_fnRef_B00062083311327_ID0EQQBG_1"/>
      <w:hyperlink w:anchor="co_footnote_B00062083311327_1">
        <w:r>
          <w:rPr>
            <w:rFonts w:ascii="Times New Roman" w:hAnsi="Times New Roman"/>
            <w:color w:val="006fc4"/>
            <w:sz w:val="16"/>
            <w:vertAlign w:val="superscript"/>
          </w:rPr>
          <w:t>6</w:t>
        </w:r>
      </w:hyperlink>
      <w:bookmarkEnd w:id="152"/>
    </w:p>
    <w:p>
      <w:pPr>
        <w:spacing w:before="0" w:after="0" w:line="275" w:lineRule="atLeast"/>
        <w:jc w:val="both"/>
      </w:pPr>
      <w:r>
        <w:rPr>
          <w:rFonts w:ascii="Times New Roman" w:hAnsi="Times New Roman"/>
          <w:color w:val="1f1f1f"/>
          <w:sz w:val="20"/>
        </w:rPr>
        <w:t> </w:t>
      </w:r>
    </w:p>
    <w:bookmarkStart w:id="153" w:name="co_anchor_I0f3a35e1feba11ef9eabfecdde2d"/>
    <w:p>
      <w:pPr>
        <w:spacing w:before="400" w:after="0" w:line="275" w:lineRule="atLeast"/>
        <w:jc w:val="center"/>
      </w:pPr>
      <w:r>
        <w:rPr>
          <w:rFonts w:ascii="Times New Roman" w:hAnsi="Times New Roman"/>
          <w:b/>
          <w:color w:val="1f1f1f"/>
          <w:sz w:val="20"/>
        </w:rPr>
        <w:t>LEGAL STANDARD</w:t>
      </w:r>
    </w:p>
    <w:bookmarkEnd w:id="153"/>
    <w:bookmarkStart w:id="154" w:name="co_anchor_I0f3a35e1feba11ef9eabfecdd2"/>
    <w:p>
      <w:pPr>
        <w:spacing w:before="600" w:after="0" w:line="275" w:lineRule="atLeast"/>
      </w:pPr>
      <w:r>
        <w:rPr>
          <w:rFonts w:ascii="Times New Roman" w:hAnsi="Times New Roman"/>
          <w:b/>
          <w:color w:val="1f1f1f"/>
          <w:sz w:val="20"/>
        </w:rPr>
        <w:t>1. Summary Judgment</w:t>
      </w:r>
    </w:p>
    <w:bookmarkEnd w:id="154"/>
    <w:p>
      <w:pPr>
        <w:spacing w:before="0" w:after="0" w:line="275" w:lineRule="atLeast"/>
        <w:jc w:val="both"/>
      </w:pPr>
      <w:bookmarkStart w:id="155" w:name="co_pp_sp_999_2_1"/>
      <w:r>
        <w:rPr>
          <w:rFonts w:ascii="Times New Roman" w:hAnsi="Times New Roman"/>
          <w:b/>
          <w:color w:val="000000"/>
          <w:sz w:val="20"/>
        </w:rPr>
        <w:t>*2</w:t>
      </w:r>
      <w:bookmarkEnd w:id="155"/>
      <w:r>
        <w:rPr>
          <w:rFonts w:ascii="Times New Roman" w:hAnsi="Times New Roman"/>
          <w:color w:val="1f1f1f"/>
          <w:sz w:val="20"/>
        </w:rPr>
        <w:t xml:space="preserve"> </w:t>
      </w:r>
      <w:hyperlink w:anchor="co_hn_anchor_F12083311327_1">
        <w:r>
          <w:rPr>
            <w:rFonts w:ascii="Times New Roman" w:hAnsi="Times New Roman"/>
            <w:b/>
            <w:color w:val="252525"/>
            <w:sz w:val="20"/>
            <w:bdr w:val="none" w:space="2"/>
            <w:vertAlign w:val="superscript"/>
          </w:rPr>
          <w:t>[1]</w:t>
        </w:r>
      </w:hyperlink>
      <w:r>
        <w:rPr>
          <w:rFonts w:ascii="Times New Roman" w:hAnsi="Times New Roman"/>
          <w:color w:val="1f1f1f"/>
          <w:sz w:val="20"/>
        </w:rPr>
        <w:t xml:space="preserve"> </w:t>
      </w:r>
      <w:hyperlink w:anchor="co_hn_anchor_F22083311327_1">
        <w:r>
          <w:rPr>
            <w:rFonts w:ascii="Times New Roman" w:hAnsi="Times New Roman"/>
            <w:b/>
            <w:color w:val="252525"/>
            <w:sz w:val="20"/>
            <w:bdr w:val="none" w:space="2"/>
            <w:vertAlign w:val="superscript"/>
          </w:rPr>
          <w:t>[2]</w:t>
        </w:r>
      </w:hyperlink>
      <w:r>
        <w:rPr>
          <w:rFonts w:ascii="Times New Roman" w:hAnsi="Times New Roman"/>
          <w:color w:val="1f1f1f"/>
          <w:sz w:val="20"/>
        </w:rPr>
        <w:t xml:space="preserve">The court must grant summary judgment where there is no genuine dispute as to any material fact and the moving party is entitled to judgment as a matter of law. </w:t>
      </w:r>
      <w:hyperlink r:id="r76">
        <w:r>
          <w:rPr>
            <w:rFonts w:ascii="Times New Roman" w:hAnsi="Times New Roman"/>
            <w:color w:val="006fc4"/>
            <w:sz w:val="20"/>
          </w:rPr>
          <w:t>Fed. R. Civ. P. 56(a)</w:t>
        </w:r>
      </w:hyperlink>
      <w:r>
        <w:rPr>
          <w:rFonts w:ascii="Times New Roman" w:hAnsi="Times New Roman"/>
          <w:color w:val="1f1f1f"/>
          <w:sz w:val="20"/>
        </w:rPr>
        <w:t xml:space="preserve">; </w:t>
      </w:r>
      <w:hyperlink r:id="r77">
        <w:r>
          <w:rPr>
            <w:rFonts w:ascii="Times New Roman" w:hAnsi="Times New Roman"/>
            <w:i/>
            <w:color w:val="006fc4"/>
            <w:sz w:val="20"/>
          </w:rPr>
          <w:t>Anderson v. Liberty Lobby, Inc.</w:t>
        </w:r>
        <w:r>
          <w:rPr>
            <w:rFonts w:ascii="Times New Roman" w:hAnsi="Times New Roman"/>
            <w:color w:val="006fc4"/>
            <w:sz w:val="20"/>
          </w:rPr>
          <w:t>, 477 U.S. 242, 247–48, 106 S.Ct. 2505, 91 L.Ed.2d 202 (1986)</w:t>
        </w:r>
      </w:hyperlink>
      <w:r>
        <w:rPr>
          <w:rFonts w:ascii="Times New Roman" w:hAnsi="Times New Roman"/>
          <w:color w:val="1f1f1f"/>
          <w:sz w:val="20"/>
        </w:rPr>
        <w:t xml:space="preserve">. Material facts are those that may affect the outcome of the case. </w:t>
      </w:r>
      <w:hyperlink r:id="r78">
        <w:r>
          <w:rPr>
            <w:rFonts w:ascii="Times New Roman" w:hAnsi="Times New Roman"/>
            <w:i/>
            <w:color w:val="006fc4"/>
            <w:sz w:val="20"/>
          </w:rPr>
          <w:t>Id.</w:t>
        </w:r>
        <w:r>
          <w:rPr>
            <w:rFonts w:ascii="Times New Roman" w:hAnsi="Times New Roman"/>
            <w:color w:val="006fc4"/>
            <w:sz w:val="20"/>
          </w:rPr>
          <w:t xml:space="preserve"> at 248, 106 S.Ct. 2505</w:t>
        </w:r>
      </w:hyperlink>
      <w:r>
        <w:rPr>
          <w:rFonts w:ascii="Times New Roman" w:hAnsi="Times New Roman"/>
          <w:color w:val="1f1f1f"/>
          <w:sz w:val="20"/>
        </w:rPr>
        <w:t xml:space="preserve">. A dispute about a material fact is genuine if there is sufficient evidence for a reasonable jury to return a verdict for the nonmoving party. </w:t>
      </w:r>
      <w:hyperlink r:id="r79">
        <w:r>
          <w:rPr>
            <w:rFonts w:ascii="Times New Roman" w:hAnsi="Times New Roman"/>
            <w:i/>
            <w:color w:val="006fc4"/>
            <w:sz w:val="20"/>
          </w:rPr>
          <w:t>Id.</w:t>
        </w:r>
        <w:r>
          <w:rPr>
            <w:rFonts w:ascii="Times New Roman" w:hAnsi="Times New Roman"/>
            <w:color w:val="006fc4"/>
            <w:sz w:val="20"/>
          </w:rPr>
          <w:t xml:space="preserve"> at 248–49, 106 S.Ct. 2505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party moving for summary judgment has the initial burden of informing the court of the basis for the motion and identifying portions of the pleadings, depositions, answers to interrogatories, admissions, or affidavits that demonstrate the absence of a triable issue of material fact. </w:t>
      </w:r>
      <w:hyperlink r:id="r80">
        <w:r>
          <w:rPr>
            <w:rFonts w:ascii="Times New Roman" w:hAnsi="Times New Roman"/>
            <w:i/>
            <w:color w:val="006fc4"/>
            <w:sz w:val="20"/>
          </w:rPr>
          <w:t>Celotex Corp. v. Catrett</w:t>
        </w:r>
        <w:r>
          <w:rPr>
            <w:rFonts w:ascii="Times New Roman" w:hAnsi="Times New Roman"/>
            <w:color w:val="006fc4"/>
            <w:sz w:val="20"/>
          </w:rPr>
          <w:t>, 477 U.S. 317, 323, 106 S.Ct. 2548, 91 L.Ed.2d 265 (1986)</w:t>
        </w:r>
      </w:hyperlink>
      <w:r>
        <w:rPr>
          <w:rFonts w:ascii="Times New Roman" w:hAnsi="Times New Roman"/>
          <w:color w:val="1f1f1f"/>
          <w:sz w:val="20"/>
        </w:rPr>
        <w:t xml:space="preserve">. To meet its burden, “the moving party must either produce evidence negating an essential element of the nonmoving party's claim or defense or show that the nonmoving party does not have enough evidence of an essential element to carry its ultimate burden of persuasion at trial.” </w:t>
      </w:r>
      <w:hyperlink r:id="r81">
        <w:r>
          <w:rPr>
            <w:rFonts w:ascii="Times New Roman" w:hAnsi="Times New Roman"/>
            <w:i/>
            <w:color w:val="006fc4"/>
            <w:sz w:val="20"/>
          </w:rPr>
          <w:t>Nissan Fire &amp; Marine Ins. Co. v. Fritz Cos.</w:t>
        </w:r>
        <w:r>
          <w:rPr>
            <w:rFonts w:ascii="Times New Roman" w:hAnsi="Times New Roman"/>
            <w:color w:val="006fc4"/>
            <w:sz w:val="20"/>
          </w:rPr>
          <w:t>, 210 F.3d 1099, 1102 (9th Cir. 2000)</w:t>
        </w:r>
      </w:hyperlink>
      <w:r>
        <w:rPr>
          <w:rFonts w:ascii="Times New Roman" w:hAnsi="Times New Roman"/>
          <w:color w:val="1f1f1f"/>
          <w:sz w:val="20"/>
        </w:rPr>
        <w:t xml:space="preserve">; </w:t>
      </w:r>
      <w:r>
        <w:rPr>
          <w:rFonts w:ascii="Times New Roman" w:hAnsi="Times New Roman"/>
          <w:i/>
          <w:color w:val="1f1f1f"/>
          <w:sz w:val="20"/>
        </w:rPr>
        <w:t>see</w:t>
      </w:r>
      <w:r>
        <w:rPr>
          <w:rFonts w:ascii="Times New Roman" w:hAnsi="Times New Roman"/>
          <w:color w:val="1f1f1f"/>
          <w:sz w:val="20"/>
        </w:rPr>
        <w:t xml:space="preserve"> </w:t>
      </w:r>
      <w:hyperlink r:id="r82">
        <w:r>
          <w:rPr>
            <w:rFonts w:ascii="Times New Roman" w:hAnsi="Times New Roman"/>
            <w:i/>
            <w:color w:val="006fc4"/>
            <w:sz w:val="20"/>
          </w:rPr>
          <w:t>Devereaux v. Abbey</w:t>
        </w:r>
        <w:r>
          <w:rPr>
            <w:rFonts w:ascii="Times New Roman" w:hAnsi="Times New Roman"/>
            <w:color w:val="006fc4"/>
            <w:sz w:val="20"/>
          </w:rPr>
          <w:t>, 263 F.3d 1070, 1076 (9th Cir. 2001)</w:t>
        </w:r>
      </w:hyperlink>
      <w:r>
        <w:rPr>
          <w:rFonts w:ascii="Times New Roman" w:hAnsi="Times New Roman"/>
          <w:color w:val="1f1f1f"/>
          <w:sz w:val="20"/>
        </w:rPr>
        <w:t xml:space="preserve"> (“When the nonmoving party has the burden of proof at trial, the moving party need only point out ‘that there is an absence of evidence to support the nonmoving party's case.’ ” (quoting </w:t>
      </w:r>
      <w:hyperlink r:id="r83">
        <w:r>
          <w:rPr>
            <w:rFonts w:ascii="Times New Roman" w:hAnsi="Times New Roman"/>
            <w:i/>
            <w:color w:val="006fc4"/>
            <w:sz w:val="20"/>
          </w:rPr>
          <w:t>Celotex</w:t>
        </w:r>
        <w:r>
          <w:rPr>
            <w:rFonts w:ascii="Times New Roman" w:hAnsi="Times New Roman"/>
            <w:color w:val="006fc4"/>
            <w:sz w:val="20"/>
          </w:rPr>
          <w:t>, 477 U.S. at 325, 106 S.Ct. 2548</w:t>
        </w:r>
      </w:hyperlink>
      <w:r>
        <w:rPr>
          <w:rFonts w:ascii="Times New Roman" w:hAnsi="Times New Roman"/>
          <w:color w:val="1f1f1f"/>
          <w:sz w:val="20"/>
        </w:rPr>
        <w:t xml:space="preserve">)). “Where the moving party will have the burden of proof on an issue at trial, the movant must affirmatively demonstrate that no reasonable trier of fact could find other than for the moving party.” </w:t>
      </w:r>
      <w:hyperlink r:id="r84">
        <w:r>
          <w:rPr>
            <w:rFonts w:ascii="Times New Roman" w:hAnsi="Times New Roman"/>
            <w:i/>
            <w:color w:val="006fc4"/>
            <w:sz w:val="20"/>
          </w:rPr>
          <w:t>Soremekun v. Thrifty Payless, Inc.</w:t>
        </w:r>
        <w:r>
          <w:rPr>
            <w:rFonts w:ascii="Times New Roman" w:hAnsi="Times New Roman"/>
            <w:color w:val="006fc4"/>
            <w:sz w:val="20"/>
          </w:rPr>
          <w:t>, 509 F.3d 978, 984 (9th Cir. 2007)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If the moving party meets its initial burden, then the burden shifts to the nonmoving party to produce evidence supporting its claims or defenses. </w:t>
      </w:r>
      <w:hyperlink r:id="r85">
        <w:r>
          <w:rPr>
            <w:rFonts w:ascii="Times New Roman" w:hAnsi="Times New Roman"/>
            <w:i/>
            <w:color w:val="006fc4"/>
            <w:sz w:val="20"/>
          </w:rPr>
          <w:t>Nissan</w:t>
        </w:r>
        <w:r>
          <w:rPr>
            <w:rFonts w:ascii="Times New Roman" w:hAnsi="Times New Roman"/>
            <w:color w:val="006fc4"/>
            <w:sz w:val="20"/>
          </w:rPr>
          <w:t>, 210 F.3d at 1103</w:t>
        </w:r>
      </w:hyperlink>
      <w:r>
        <w:rPr>
          <w:rFonts w:ascii="Times New Roman" w:hAnsi="Times New Roman"/>
          <w:color w:val="1f1f1f"/>
          <w:sz w:val="20"/>
        </w:rPr>
        <w:t xml:space="preserve">. “Once the moving party carries its initial burden, the adverse party may not rest upon the mere allegations or denials of the adverse party's pleading, but must provide affidavits or other sources of evidence that set forth specific facts showing that there is a genuine issue for trial.” </w:t>
      </w:r>
      <w:hyperlink r:id="r86">
        <w:r>
          <w:rPr>
            <w:rFonts w:ascii="Times New Roman" w:hAnsi="Times New Roman"/>
            <w:i/>
            <w:color w:val="006fc4"/>
            <w:sz w:val="20"/>
          </w:rPr>
          <w:t>Devereaux</w:t>
        </w:r>
        <w:r>
          <w:rPr>
            <w:rFonts w:ascii="Times New Roman" w:hAnsi="Times New Roman"/>
            <w:color w:val="006fc4"/>
            <w:sz w:val="20"/>
          </w:rPr>
          <w:t>, 263 F.3d at 1076</w:t>
        </w:r>
      </w:hyperlink>
      <w:r>
        <w:rPr>
          <w:rFonts w:ascii="Times New Roman" w:hAnsi="Times New Roman"/>
          <w:color w:val="1f1f1f"/>
          <w:sz w:val="20"/>
        </w:rPr>
        <w:t xml:space="preserve"> (cleaned up). If the nonmoving party does not produce evidence to show a genuine issue of material fact, the moving party is entitled to summary judgment. </w:t>
      </w:r>
      <w:hyperlink r:id="r87">
        <w:r>
          <w:rPr>
            <w:rFonts w:ascii="Times New Roman" w:hAnsi="Times New Roman"/>
            <w:i/>
            <w:color w:val="006fc4"/>
            <w:sz w:val="20"/>
          </w:rPr>
          <w:t>Celotex</w:t>
        </w:r>
        <w:r>
          <w:rPr>
            <w:rFonts w:ascii="Times New Roman" w:hAnsi="Times New Roman"/>
            <w:color w:val="006fc4"/>
            <w:sz w:val="20"/>
          </w:rPr>
          <w:t>, 477 U.S. at 322–23, 106 S.Ct. 2548</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ruling on a motion for summary judgment, the court does not make credibility determinations or weigh conflicting evidence. Instead, it views the evidence in the light most favorable to the nonmoving party and draws all factual inferences in the nonmoving party's favor. </w:t>
      </w:r>
      <w:r>
        <w:rPr>
          <w:rFonts w:ascii="Times New Roman" w:hAnsi="Times New Roman"/>
          <w:i/>
          <w:color w:val="1f1f1f"/>
          <w:sz w:val="20"/>
        </w:rPr>
        <w:t>E.g.,</w:t>
      </w:r>
      <w:r>
        <w:rPr>
          <w:rFonts w:ascii="Times New Roman" w:hAnsi="Times New Roman"/>
          <w:color w:val="1f1f1f"/>
          <w:sz w:val="20"/>
        </w:rPr>
        <w:t xml:space="preserve"> </w:t>
      </w:r>
      <w:hyperlink r:id="r88">
        <w:r>
          <w:rPr>
            <w:rFonts w:ascii="Times New Roman" w:hAnsi="Times New Roman"/>
            <w:i/>
            <w:color w:val="006fc4"/>
            <w:sz w:val="20"/>
          </w:rPr>
          <w:t>Matsushita Elec. Indus. Co. v. Zenith Radio Corp.</w:t>
        </w:r>
        <w:r>
          <w:rPr>
            <w:rFonts w:ascii="Times New Roman" w:hAnsi="Times New Roman"/>
            <w:color w:val="006fc4"/>
            <w:sz w:val="20"/>
          </w:rPr>
          <w:t>, 475 U.S. 574, 587–88, 106 S.Ct. 1348, 89 L.Ed.2d 538 (1986)</w:t>
        </w:r>
      </w:hyperlink>
      <w:r>
        <w:rPr>
          <w:rFonts w:ascii="Times New Roman" w:hAnsi="Times New Roman"/>
          <w:color w:val="1f1f1f"/>
          <w:sz w:val="20"/>
        </w:rPr>
        <w:t xml:space="preserve">; </w:t>
      </w:r>
      <w:hyperlink r:id="r89">
        <w:r>
          <w:rPr>
            <w:rFonts w:ascii="Times New Roman" w:hAnsi="Times New Roman"/>
            <w:i/>
            <w:color w:val="006fc4"/>
            <w:sz w:val="20"/>
          </w:rPr>
          <w:t>Ting v. United States</w:t>
        </w:r>
        <w:r>
          <w:rPr>
            <w:rFonts w:ascii="Times New Roman" w:hAnsi="Times New Roman"/>
            <w:color w:val="006fc4"/>
            <w:sz w:val="20"/>
          </w:rPr>
          <w:t>, 927 F.2d 1504, 1509 (9th Cir. 1991)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ruling on a summary-judgment motion, the court “need consider only the cited materials.” </w:t>
      </w:r>
      <w:hyperlink r:id="r90">
        <w:r>
          <w:rPr>
            <w:rFonts w:ascii="Times New Roman" w:hAnsi="Times New Roman"/>
            <w:color w:val="006fc4"/>
            <w:sz w:val="20"/>
          </w:rPr>
          <w:t>Fed. R. Civ. P. 56(c)(3)</w:t>
        </w:r>
      </w:hyperlink>
      <w:r>
        <w:rPr>
          <w:rFonts w:ascii="Times New Roman" w:hAnsi="Times New Roman"/>
          <w:color w:val="1f1f1f"/>
          <w:sz w:val="20"/>
        </w:rPr>
        <w:t xml:space="preserve">. “It is simply not the Court's responsibility to comb through the briefs and thousands of pages of exhibits to piece together the parties’ factual contentions, particularly on a motion for summary judgment.” </w:t>
      </w:r>
      <w:hyperlink r:id="r91">
        <w:r>
          <w:rPr>
            <w:rFonts w:ascii="Times New Roman" w:hAnsi="Times New Roman"/>
            <w:i/>
            <w:color w:val="006fc4"/>
            <w:sz w:val="20"/>
          </w:rPr>
          <w:t>Int'l Metaphysical Ministry, Inc. v. Wisdom of the Heart Church</w:t>
        </w:r>
        <w:r>
          <w:rPr>
            <w:rFonts w:ascii="Times New Roman" w:hAnsi="Times New Roman"/>
            <w:color w:val="006fc4"/>
            <w:sz w:val="20"/>
          </w:rPr>
          <w:t>, No. 21-cv-08066-KAW, 2022 WL 17968079, *1 n.2 (N.D. Cal. Sept. 9, 2022)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156" w:name="co_anchor_I0f3ddf61feba11ef9eabfecdde2d"/>
    <w:bookmarkStart w:id="157" w:name="co_anchor_I0f3ddf61feba11ef9eabfecdd2"/>
    <w:p>
      <w:pPr>
        <w:spacing w:before="400" w:after="0" w:line="275" w:lineRule="atLeast"/>
      </w:pPr>
      <w:r>
        <w:rPr>
          <w:rFonts w:ascii="Times New Roman" w:hAnsi="Times New Roman"/>
          <w:b/>
          <w:color w:val="1f1f1f"/>
          <w:sz w:val="20"/>
        </w:rPr>
        <w:t>2. Interpretation of Insurance Agreements</w:t>
      </w:r>
    </w:p>
    <w:bookmarkEnd w:id="157"/>
    <w:bookmarkEnd w:id="156"/>
    <w:p>
      <w:pPr>
        <w:spacing w:before="0" w:after="0" w:line="275" w:lineRule="atLeast"/>
        <w:jc w:val="both"/>
      </w:pPr>
      <w:hyperlink w:anchor="co_hn_anchor_F32083311327_1">
        <w:r>
          <w:rPr>
            <w:rFonts w:ascii="Times New Roman" w:hAnsi="Times New Roman"/>
            <w:b/>
            <w:color w:val="252525"/>
            <w:sz w:val="20"/>
            <w:bdr w:val="none" w:space="2"/>
            <w:vertAlign w:val="superscript"/>
          </w:rPr>
          <w:t>[3]</w:t>
        </w:r>
      </w:hyperlink>
      <w:r>
        <w:rPr>
          <w:rFonts w:ascii="Times New Roman" w:hAnsi="Times New Roman"/>
          <w:color w:val="1f1f1f"/>
          <w:sz w:val="20"/>
        </w:rPr>
        <w:t>Under California law, “[i]nterpretation of an insurance policy is a question of law and follows the general rules of contract interpretation.”</w:t>
      </w:r>
      <w:bookmarkStart w:id="158" w:name="co_fnRef_B00072083311327_ID0EV4BG_1"/>
      <w:hyperlink w:anchor="co_footnote_B00072083311327_1">
        <w:r>
          <w:rPr>
            <w:rFonts w:ascii="Times New Roman" w:hAnsi="Times New Roman"/>
            <w:color w:val="006fc4"/>
            <w:sz w:val="16"/>
            <w:vertAlign w:val="superscript"/>
          </w:rPr>
          <w:t>7</w:t>
        </w:r>
      </w:hyperlink>
      <w:bookmarkEnd w:id="158"/>
      <w:r>
        <w:rPr>
          <w:rFonts w:ascii="Times New Roman" w:hAnsi="Times New Roman"/>
          <w:color w:val="1f1f1f"/>
          <w:sz w:val="20"/>
        </w:rPr>
        <w:t xml:space="preserve"> </w:t>
      </w:r>
      <w:hyperlink r:id="r92">
        <w:r>
          <w:rPr>
            <w:rFonts w:ascii="Times New Roman" w:hAnsi="Times New Roman"/>
            <w:i/>
            <w:color w:val="006fc4"/>
            <w:sz w:val="20"/>
          </w:rPr>
          <w:t>MacKinnon v. Truck Ins. Exchange</w:t>
        </w:r>
        <w:r>
          <w:rPr>
            <w:rFonts w:ascii="Times New Roman" w:hAnsi="Times New Roman"/>
            <w:color w:val="006fc4"/>
            <w:sz w:val="20"/>
          </w:rPr>
          <w:t>, 31 Cal. 4th 635, 647, 3 Cal.Rptr.3d 228, 73 P.3d 1205 (2003)</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59" w:name="co_pp_sp_999_3_1"/>
      <w:r>
        <w:rPr>
          <w:rFonts w:ascii="Times New Roman" w:hAnsi="Times New Roman"/>
          <w:b/>
          <w:color w:val="000000"/>
          <w:sz w:val="20"/>
        </w:rPr>
        <w:t>*3</w:t>
      </w:r>
      <w:bookmarkEnd w:id="159"/>
      <w:r>
        <w:rPr>
          <w:rFonts w:ascii="Times New Roman" w:hAnsi="Times New Roman"/>
          <w:color w:val="1f1f1f"/>
          <w:sz w:val="20"/>
        </w:rPr>
        <w:t xml:space="preserve"> </w:t>
      </w:r>
      <w:hyperlink w:anchor="co_hn_anchor_F42083311327_1">
        <w:r>
          <w:rPr>
            <w:rFonts w:ascii="Times New Roman" w:hAnsi="Times New Roman"/>
            <w:b/>
            <w:color w:val="252525"/>
            <w:sz w:val="20"/>
            <w:bdr w:val="none" w:space="2"/>
            <w:vertAlign w:val="superscript"/>
          </w:rPr>
          <w:t>[4]</w:t>
        </w:r>
      </w:hyperlink>
      <w:r>
        <w:rPr>
          <w:rFonts w:ascii="Times New Roman" w:hAnsi="Times New Roman"/>
          <w:color w:val="1f1f1f"/>
          <w:sz w:val="20"/>
        </w:rPr>
        <w:t xml:space="preserve">An insurer's duty to defend is broader than its duty to indemnify. </w:t>
      </w:r>
      <w:hyperlink r:id="r93">
        <w:r>
          <w:rPr>
            <w:rFonts w:ascii="Times New Roman" w:hAnsi="Times New Roman"/>
            <w:i/>
            <w:color w:val="006fc4"/>
            <w:sz w:val="20"/>
          </w:rPr>
          <w:t>Montrose Chem. Corp. v. Superior Ct.</w:t>
        </w:r>
        <w:r>
          <w:rPr>
            <w:rFonts w:ascii="Times New Roman" w:hAnsi="Times New Roman"/>
            <w:color w:val="006fc4"/>
            <w:sz w:val="20"/>
          </w:rPr>
          <w:t>, 6 Cal. 4th 287, 295, 24 Cal.Rptr.2d 467, 861 P.2d 1153 (1993)</w:t>
        </w:r>
      </w:hyperlink>
      <w:r>
        <w:rPr>
          <w:rFonts w:ascii="Times New Roman" w:hAnsi="Times New Roman"/>
          <w:color w:val="1f1f1f"/>
          <w:sz w:val="20"/>
        </w:rPr>
        <w:t xml:space="preserve">. Even the potential of indemnity triggers the duty to defend. </w:t>
      </w:r>
      <w:hyperlink r:id="r94">
        <w:r>
          <w:rPr>
            <w:rFonts w:ascii="Times New Roman" w:hAnsi="Times New Roman"/>
            <w:i/>
            <w:color w:val="006fc4"/>
            <w:sz w:val="20"/>
          </w:rPr>
          <w:t>Scottsdale Ins. Co. v. MV Transp.</w:t>
        </w:r>
        <w:r>
          <w:rPr>
            <w:rFonts w:ascii="Times New Roman" w:hAnsi="Times New Roman"/>
            <w:color w:val="006fc4"/>
            <w:sz w:val="20"/>
          </w:rPr>
          <w:t>, 36 Cal. 4th 643, 654–55, 31 Cal.Rptr.3d 147, 115 P.3d 460 (2005)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2083311327_1">
        <w:r>
          <w:rPr>
            <w:rFonts w:ascii="Times New Roman" w:hAnsi="Times New Roman"/>
            <w:b/>
            <w:color w:val="252525"/>
            <w:sz w:val="20"/>
            <w:bdr w:val="none" w:space="2"/>
            <w:vertAlign w:val="superscript"/>
          </w:rPr>
          <w:t>[5]</w:t>
        </w:r>
      </w:hyperlink>
      <w:r>
        <w:rPr>
          <w:rFonts w:ascii="Times New Roman" w:hAnsi="Times New Roman"/>
          <w:color w:val="1f1f1f"/>
          <w:sz w:val="20"/>
        </w:rPr>
        <w:t xml:space="preserve"> </w:t>
      </w:r>
      <w:hyperlink w:anchor="co_hn_anchor_F62083311327_1">
        <w:r>
          <w:rPr>
            <w:rFonts w:ascii="Times New Roman" w:hAnsi="Times New Roman"/>
            <w:b/>
            <w:color w:val="252525"/>
            <w:sz w:val="20"/>
            <w:bdr w:val="none" w:space="2"/>
            <w:vertAlign w:val="superscript"/>
          </w:rPr>
          <w:t>[6]</w:t>
        </w:r>
      </w:hyperlink>
      <w:r>
        <w:rPr>
          <w:rFonts w:ascii="Times New Roman" w:hAnsi="Times New Roman"/>
          <w:color w:val="1f1f1f"/>
          <w:sz w:val="20"/>
        </w:rPr>
        <w:t xml:space="preserve"> </w:t>
      </w:r>
      <w:hyperlink w:anchor="co_hn_anchor_F72083311327_1">
        <w:r>
          <w:rPr>
            <w:rFonts w:ascii="Times New Roman" w:hAnsi="Times New Roman"/>
            <w:b/>
            <w:color w:val="252525"/>
            <w:sz w:val="20"/>
            <w:bdr w:val="none" w:space="2"/>
            <w:vertAlign w:val="superscript"/>
          </w:rPr>
          <w:t>[7]</w:t>
        </w:r>
      </w:hyperlink>
      <w:r>
        <w:rPr>
          <w:rFonts w:ascii="Times New Roman" w:hAnsi="Times New Roman"/>
          <w:color w:val="1f1f1f"/>
          <w:sz w:val="20"/>
        </w:rPr>
        <w:t xml:space="preserve">The inquiry begins by “comparing the allegations of the complaint with the terms of the policy.” </w:t>
      </w:r>
      <w:hyperlink r:id="r95">
        <w:r>
          <w:rPr>
            <w:rFonts w:ascii="Times New Roman" w:hAnsi="Times New Roman"/>
            <w:i/>
            <w:color w:val="006fc4"/>
            <w:sz w:val="20"/>
          </w:rPr>
          <w:t>Hartford Cas. Ins. Co. v. Swift Distrib., Inc.</w:t>
        </w:r>
        <w:r>
          <w:rPr>
            <w:rFonts w:ascii="Times New Roman" w:hAnsi="Times New Roman"/>
            <w:color w:val="006fc4"/>
            <w:sz w:val="20"/>
          </w:rPr>
          <w:t>, 59 Cal. 4th 277, 287, 172 Cal.Rptr.3d 653, 326 P.3d 253 (2014)</w:t>
        </w:r>
      </w:hyperlink>
      <w:r>
        <w:rPr>
          <w:rFonts w:ascii="Times New Roman" w:hAnsi="Times New Roman"/>
          <w:color w:val="1f1f1f"/>
          <w:sz w:val="20"/>
        </w:rPr>
        <w:t xml:space="preserve">. Coverage is construed broadly in favor of the insured. </w:t>
      </w:r>
      <w:hyperlink r:id="r96">
        <w:r>
          <w:rPr>
            <w:rFonts w:ascii="Times New Roman" w:hAnsi="Times New Roman"/>
            <w:i/>
            <w:color w:val="006fc4"/>
            <w:sz w:val="20"/>
          </w:rPr>
          <w:t>MacKinnon</w:t>
        </w:r>
        <w:r>
          <w:rPr>
            <w:rFonts w:ascii="Times New Roman" w:hAnsi="Times New Roman"/>
            <w:color w:val="006fc4"/>
            <w:sz w:val="20"/>
          </w:rPr>
          <w:t>, 31 Cal. 4th 635, 647–48, 3 Cal.Rptr.3d 228, 73 P.3d 1205</w:t>
        </w:r>
      </w:hyperlink>
      <w:r>
        <w:rPr>
          <w:rFonts w:ascii="Times New Roman" w:hAnsi="Times New Roman"/>
          <w:color w:val="1f1f1f"/>
          <w:sz w:val="20"/>
        </w:rPr>
        <w:t xml:space="preserve">. Exceptions are interpreted narrowly against the insurer. </w:t>
      </w:r>
      <w:hyperlink r:id="r97">
        <w:r>
          <w:rPr>
            <w:rFonts w:ascii="Times New Roman" w:hAnsi="Times New Roman"/>
            <w:i/>
            <w:color w:val="006fc4"/>
            <w:sz w:val="20"/>
          </w:rPr>
          <w:t>Id.</w:t>
        </w:r>
      </w:hyperlink>
      <w:r>
        <w:rPr>
          <w:rFonts w:ascii="Times New Roman" w:hAnsi="Times New Roman"/>
          <w:color w:val="1f1f1f"/>
          <w:sz w:val="20"/>
        </w:rPr>
        <w:t xml:space="preserve"> The insured has the burden to establish that the claim is within the basic scope of coverage and the insurer has the burden to establish that exceptions apply. </w:t>
      </w:r>
      <w:hyperlink r:id="r98">
        <w:r>
          <w:rPr>
            <w:rFonts w:ascii="Times New Roman" w:hAnsi="Times New Roman"/>
            <w:i/>
            <w:color w:val="006fc4"/>
            <w:sz w:val="20"/>
          </w:rPr>
          <w:t>Id.</w:t>
        </w:r>
      </w:hyperlink>
    </w:p>
    <w:p>
      <w:pPr>
        <w:spacing w:before="0" w:after="0" w:line="275" w:lineRule="atLeast"/>
        <w:jc w:val="both"/>
      </w:pPr>
      <w:r>
        <w:rPr>
          <w:rFonts w:ascii="Times New Roman" w:hAnsi="Times New Roman"/>
          <w:color w:val="1f1f1f"/>
          <w:sz w:val="20"/>
        </w:rPr>
        <w:t> </w:t>
      </w:r>
    </w:p>
    <w:bookmarkStart w:id="160" w:name="co_anchor_I0f402951feba11ef9eabfecdde2d"/>
    <w:p>
      <w:pPr>
        <w:spacing w:before="400" w:after="0" w:line="275" w:lineRule="atLeast"/>
        <w:jc w:val="center"/>
      </w:pPr>
      <w:r>
        <w:rPr>
          <w:rFonts w:ascii="Times New Roman" w:hAnsi="Times New Roman"/>
          <w:b/>
          <w:color w:val="1f1f1f"/>
          <w:sz w:val="20"/>
        </w:rPr>
        <w:t>ANALYSIS</w:t>
      </w:r>
    </w:p>
    <w:bookmarkEnd w:id="160"/>
    <w:p>
      <w:pPr>
        <w:spacing w:before="200" w:after="0" w:line="275" w:lineRule="atLeast"/>
        <w:jc w:val="both"/>
      </w:pPr>
      <w:r>
        <w:rPr>
          <w:rFonts w:ascii="Times New Roman" w:hAnsi="Times New Roman"/>
          <w:color w:val="1f1f1f"/>
          <w:sz w:val="20"/>
        </w:rPr>
        <w:t>The motions present three issues: (1) whether National Foam is entitled to summary judgment on all direct-exposure cases; (2) whether either party is entitled to summary judgment on the Allen case; and (3) whether the carriers are entitled to summary judgment on the Newburgh and Bates cases.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National Foam has not met its burden for summary judgment on all direct-exposure claims. National Foam prevails on the Allen case because the pollution exception does not apply and the Allen plaintiffs allege an accident. The carriers prevail on the Newburgh and Bates cases because the pollution exception bars coverage.</w:t>
      </w:r>
    </w:p>
    <w:p>
      <w:pPr>
        <w:spacing w:before="0" w:after="0" w:line="275" w:lineRule="atLeast"/>
        <w:jc w:val="both"/>
      </w:pPr>
      <w:r>
        <w:rPr>
          <w:rFonts w:ascii="Times New Roman" w:hAnsi="Times New Roman"/>
          <w:color w:val="1f1f1f"/>
          <w:sz w:val="20"/>
        </w:rPr>
        <w:t> </w:t>
      </w:r>
    </w:p>
    <w:bookmarkStart w:id="161" w:name="co_anchor_I0f409e81feba11ef9eabfecdde2d"/>
    <w:bookmarkStart w:id="162" w:name="co_anchor_I0f409e81feba11ef9eabfecdd2"/>
    <w:p>
      <w:pPr>
        <w:spacing w:before="400" w:after="0" w:line="275" w:lineRule="atLeast"/>
      </w:pPr>
      <w:r>
        <w:rPr>
          <w:rFonts w:ascii="Times New Roman" w:hAnsi="Times New Roman"/>
          <w:b/>
          <w:color w:val="1f1f1f"/>
          <w:sz w:val="20"/>
        </w:rPr>
        <w:t xml:space="preserve">1. National Foam Has Not Satisfied </w:t>
      </w:r>
      <w:hyperlink r:id="r99">
        <w:r>
          <w:rPr>
            <w:rFonts w:ascii="Times New Roman" w:hAnsi="Times New Roman"/>
            <w:b/>
            <w:color w:val="006fc4"/>
            <w:sz w:val="20"/>
          </w:rPr>
          <w:t>Rule 56</w:t>
        </w:r>
      </w:hyperlink>
      <w:r>
        <w:rPr>
          <w:rFonts w:ascii="Times New Roman" w:hAnsi="Times New Roman"/>
          <w:b/>
          <w:color w:val="1f1f1f"/>
          <w:sz w:val="20"/>
        </w:rPr>
        <w:t xml:space="preserve"> for All Direct-Exposure Claims</w:t>
      </w:r>
    </w:p>
    <w:bookmarkEnd w:id="162"/>
    <w:bookmarkEnd w:id="161"/>
    <w:p>
      <w:pPr>
        <w:spacing w:before="0" w:after="0" w:line="275" w:lineRule="atLeast"/>
        <w:jc w:val="both"/>
      </w:pPr>
      <w:hyperlink w:anchor="co_hn_anchor_F82083311327_1">
        <w:r>
          <w:rPr>
            <w:rFonts w:ascii="Times New Roman" w:hAnsi="Times New Roman"/>
            <w:b/>
            <w:color w:val="252525"/>
            <w:sz w:val="20"/>
            <w:bdr w:val="none" w:space="2"/>
            <w:vertAlign w:val="superscript"/>
          </w:rPr>
          <w:t>[8]</w:t>
        </w:r>
      </w:hyperlink>
      <w:r>
        <w:rPr>
          <w:rFonts w:ascii="Times New Roman" w:hAnsi="Times New Roman"/>
          <w:color w:val="1f1f1f"/>
          <w:sz w:val="20"/>
        </w:rPr>
        <w:t>The first issue is whether National Foam is entitled to summary judgment that the carriers must defend all direct-exposure claims, including at least 182 identified cases. The answer is no. It has not met its burden to establish that all such cases are potentially within the basic scope of coverage.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92083311327_1">
        <w:r>
          <w:rPr>
            <w:rFonts w:ascii="Times New Roman" w:hAnsi="Times New Roman"/>
            <w:b/>
            <w:color w:val="252525"/>
            <w:sz w:val="20"/>
            <w:bdr w:val="none" w:space="2"/>
            <w:vertAlign w:val="superscript"/>
          </w:rPr>
          <w:t>[9]</w:t>
        </w:r>
      </w:hyperlink>
      <w:r>
        <w:rPr>
          <w:rFonts w:ascii="Times New Roman" w:hAnsi="Times New Roman"/>
          <w:color w:val="1f1f1f"/>
          <w:sz w:val="20"/>
        </w:rPr>
        <w:t xml:space="preserve">Even the potential of indemnity triggers the duty to defend. </w:t>
      </w:r>
      <w:hyperlink r:id="r100">
        <w:r>
          <w:rPr>
            <w:rFonts w:ascii="Times New Roman" w:hAnsi="Times New Roman"/>
            <w:i/>
            <w:color w:val="006fc4"/>
            <w:sz w:val="20"/>
          </w:rPr>
          <w:t>Scottsdale Ins.</w:t>
        </w:r>
        <w:r>
          <w:rPr>
            <w:rFonts w:ascii="Times New Roman" w:hAnsi="Times New Roman"/>
            <w:color w:val="006fc4"/>
            <w:sz w:val="20"/>
          </w:rPr>
          <w:t>, 36 Cal. 4th at 654–55, 31 Cal.Rptr.3d 147, 115 P.3d 460</w:t>
        </w:r>
      </w:hyperlink>
      <w:r>
        <w:rPr>
          <w:rFonts w:ascii="Times New Roman" w:hAnsi="Times New Roman"/>
          <w:color w:val="1f1f1f"/>
          <w:sz w:val="20"/>
        </w:rPr>
        <w:t xml:space="preserve">. The inquiry begins by “comparing the allegations of the complaint with the terms of the policy.” </w:t>
      </w:r>
      <w:hyperlink r:id="r101">
        <w:r>
          <w:rPr>
            <w:rFonts w:ascii="Times New Roman" w:hAnsi="Times New Roman"/>
            <w:i/>
            <w:color w:val="006fc4"/>
            <w:sz w:val="20"/>
          </w:rPr>
          <w:t>Hartford Cas. Ins.</w:t>
        </w:r>
        <w:r>
          <w:rPr>
            <w:rFonts w:ascii="Times New Roman" w:hAnsi="Times New Roman"/>
            <w:color w:val="006fc4"/>
            <w:sz w:val="20"/>
          </w:rPr>
          <w:t>, 59 Cal. 4th at 287, 172 Cal.Rptr.3d 653, 326 P.3d 253</w:t>
        </w:r>
      </w:hyperlink>
      <w:r>
        <w:rPr>
          <w:rFonts w:ascii="Times New Roman" w:hAnsi="Times New Roman"/>
          <w:color w:val="1f1f1f"/>
          <w:sz w:val="20"/>
        </w:rPr>
        <w:t xml:space="preserve">. Coverage is construed broadly in favor of the insured. </w:t>
      </w:r>
      <w:hyperlink r:id="r102">
        <w:r>
          <w:rPr>
            <w:rFonts w:ascii="Times New Roman" w:hAnsi="Times New Roman"/>
            <w:i/>
            <w:color w:val="006fc4"/>
            <w:sz w:val="20"/>
          </w:rPr>
          <w:t>MacKinnon</w:t>
        </w:r>
        <w:r>
          <w:rPr>
            <w:rFonts w:ascii="Times New Roman" w:hAnsi="Times New Roman"/>
            <w:color w:val="006fc4"/>
            <w:sz w:val="20"/>
          </w:rPr>
          <w:t>, 31 Cal. 4th 635, 647–48, 3 Cal.Rptr.3d 228, 73 P.3d 1205</w:t>
        </w:r>
      </w:hyperlink>
      <w:r>
        <w:rPr>
          <w:rFonts w:ascii="Times New Roman" w:hAnsi="Times New Roman"/>
          <w:color w:val="1f1f1f"/>
          <w:sz w:val="20"/>
        </w:rPr>
        <w:t xml:space="preserve">. Exceptions are interpreted narrowly against the insurer. </w:t>
      </w:r>
      <w:hyperlink r:id="r103">
        <w:r>
          <w:rPr>
            <w:rFonts w:ascii="Times New Roman" w:hAnsi="Times New Roman"/>
            <w:i/>
            <w:color w:val="006fc4"/>
            <w:sz w:val="20"/>
          </w:rPr>
          <w:t>Id.</w:t>
        </w:r>
      </w:hyperlink>
      <w:r>
        <w:rPr>
          <w:rFonts w:ascii="Times New Roman" w:hAnsi="Times New Roman"/>
          <w:color w:val="1f1f1f"/>
          <w:sz w:val="20"/>
        </w:rPr>
        <w:t xml:space="preserve"> The insured has the burden to establish that the claim is within the basic scope of coverage and the insurer has the burden to establish that exceptions apply. </w:t>
      </w:r>
      <w:hyperlink r:id="r104">
        <w:r>
          <w:rPr>
            <w:rFonts w:ascii="Times New Roman" w:hAnsi="Times New Roman"/>
            <w:i/>
            <w:color w:val="006fc4"/>
            <w:sz w:val="20"/>
          </w:rPr>
          <w:t>Id.</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this record, National Foam has not met its burden for summary judgment across all direct-exposure cases. As one example, the duty to defend applies only if National Foam could be liable for damages due to the alleged injuries. The MDL court previously ruled that National Foam cannot be liable for claims based on sales predating June 28, 2013, when it began operations.</w:t>
      </w:r>
      <w:bookmarkStart w:id="163" w:name="co_fnRef_B00082083311327_ID0EPIAI_1"/>
      <w:hyperlink w:anchor="co_footnote_B00082083311327_1">
        <w:r>
          <w:rPr>
            <w:rFonts w:ascii="Times New Roman" w:hAnsi="Times New Roman"/>
            <w:color w:val="006fc4"/>
            <w:sz w:val="16"/>
            <w:vertAlign w:val="superscript"/>
          </w:rPr>
          <w:t>8</w:t>
        </w:r>
      </w:hyperlink>
      <w:bookmarkEnd w:id="163"/>
      <w:r>
        <w:rPr>
          <w:rFonts w:ascii="Times New Roman" w:hAnsi="Times New Roman"/>
          <w:color w:val="1f1f1f"/>
          <w:sz w:val="20"/>
        </w:rPr>
        <w:t xml:space="preserve"> National Foam has not established that all direct-exposure claims involve alleged injuries stemming from sales made after June 28, 2013. To the contrary, the carriers identify cases that appear to allege exposure during earlier periods.</w:t>
      </w:r>
      <w:bookmarkStart w:id="164" w:name="co_fnRef_B00092083311327_ID0E3IAI_1"/>
      <w:hyperlink w:anchor="co_footnote_B00092083311327_1">
        <w:r>
          <w:rPr>
            <w:rFonts w:ascii="Times New Roman" w:hAnsi="Times New Roman"/>
            <w:color w:val="006fc4"/>
            <w:sz w:val="16"/>
            <w:vertAlign w:val="superscript"/>
          </w:rPr>
          <w:t>9</w:t>
        </w:r>
      </w:hyperlink>
      <w:bookmarkEnd w:id="164"/>
      <w:r>
        <w:rPr>
          <w:rFonts w:ascii="Times New Roman" w:hAnsi="Times New Roman"/>
          <w:color w:val="1f1f1f"/>
          <w:sz w:val="20"/>
        </w:rPr>
        <w:t xml:space="preserve"> The court will not parse the 182 provided complaints to ensure that this and other threshold requirements are met. </w:t>
      </w:r>
      <w:hyperlink r:id="r105">
        <w:r>
          <w:rPr>
            <w:rFonts w:ascii="Times New Roman" w:hAnsi="Times New Roman"/>
            <w:i/>
            <w:color w:val="006fc4"/>
            <w:sz w:val="20"/>
          </w:rPr>
          <w:t>Int'l Metaphysical Ministry, Inc.</w:t>
        </w:r>
        <w:r>
          <w:rPr>
            <w:rFonts w:ascii="Times New Roman" w:hAnsi="Times New Roman"/>
            <w:color w:val="006fc4"/>
            <w:sz w:val="20"/>
          </w:rPr>
          <w:t>, No. 21-cv-08066-KAW, 2022 WL 17968079, *1 n.2</w:t>
        </w:r>
      </w:hyperlink>
      <w:r>
        <w:rPr>
          <w:rFonts w:ascii="Times New Roman" w:hAnsi="Times New Roman"/>
          <w:color w:val="1f1f1f"/>
          <w:sz w:val="20"/>
        </w:rPr>
        <w:t xml:space="preserve"> (declining to review thousands of pages of exhibits to piece together the parties’ factual contentions).</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65" w:name="co_pp_sp_999_4_1"/>
      <w:r>
        <w:rPr>
          <w:rFonts w:ascii="Times New Roman" w:hAnsi="Times New Roman"/>
          <w:b/>
          <w:color w:val="000000"/>
          <w:sz w:val="20"/>
        </w:rPr>
        <w:t>*4</w:t>
      </w:r>
      <w:bookmarkEnd w:id="165"/>
      <w:r>
        <w:rPr>
          <w:rFonts w:ascii="Times New Roman" w:hAnsi="Times New Roman"/>
          <w:color w:val="1f1f1f"/>
          <w:sz w:val="20"/>
        </w:rPr>
        <w:t xml:space="preserve"> </w:t>
      </w:r>
      <w:hyperlink w:anchor="co_hn_anchor_F102083311327_1">
        <w:r>
          <w:rPr>
            <w:rFonts w:ascii="Times New Roman" w:hAnsi="Times New Roman"/>
            <w:b/>
            <w:color w:val="252525"/>
            <w:sz w:val="20"/>
            <w:bdr w:val="none" w:space="2"/>
            <w:vertAlign w:val="superscript"/>
          </w:rPr>
          <w:t>[10]</w:t>
        </w:r>
      </w:hyperlink>
      <w:r>
        <w:rPr>
          <w:rFonts w:ascii="Times New Roman" w:hAnsi="Times New Roman"/>
          <w:color w:val="1f1f1f"/>
          <w:sz w:val="20"/>
        </w:rPr>
        <w:t xml:space="preserve">In response, National Foam argues that any such cases are immaterial because, according to National Foam, the carriers are obligated to defend all direct-exposure claims in the MDL if a single direct-exposure claim gives rise to the duty to defend. This proposition conflicts with the fundamental principle that consolidation is for efficiency only and should not affect legal rights. </w:t>
      </w:r>
      <w:hyperlink r:id="r106">
        <w:r>
          <w:rPr>
            <w:rFonts w:ascii="Times New Roman" w:hAnsi="Times New Roman"/>
            <w:i/>
            <w:color w:val="006fc4"/>
            <w:sz w:val="20"/>
          </w:rPr>
          <w:t>Fed. Ins. Co. v. 3M Co.</w:t>
        </w:r>
        <w:r>
          <w:rPr>
            <w:rFonts w:ascii="Times New Roman" w:hAnsi="Times New Roman"/>
            <w:color w:val="006fc4"/>
            <w:sz w:val="20"/>
          </w:rPr>
          <w:t>, 642 F. Supp. 3d 882, 898 (D. Minn. 2022)</w:t>
        </w:r>
      </w:hyperlink>
      <w:r>
        <w:rPr>
          <w:rFonts w:ascii="Times New Roman" w:hAnsi="Times New Roman"/>
          <w:color w:val="1f1f1f"/>
          <w:sz w:val="20"/>
        </w:rPr>
        <w:t xml:space="preserve"> (duty to defend one action is not imputed to all consolidated actions in an MDL); </w:t>
      </w:r>
      <w:hyperlink r:id="r107">
        <w:r>
          <w:rPr>
            <w:rFonts w:ascii="Times New Roman" w:hAnsi="Times New Roman"/>
            <w:i/>
            <w:color w:val="006fc4"/>
            <w:sz w:val="20"/>
          </w:rPr>
          <w:t>Pa. Mfrs’ Ass'n Ins. Co. v. N.C. Mut. Wholesale Drug Co.</w:t>
        </w:r>
        <w:r>
          <w:rPr>
            <w:rFonts w:ascii="Times New Roman" w:hAnsi="Times New Roman"/>
            <w:color w:val="006fc4"/>
            <w:sz w:val="20"/>
          </w:rPr>
          <w:t>, No. 19-1045, 2020 WL 9815386, at *7 (M.D.N.C. Sept. 30, 2020)</w:t>
        </w:r>
      </w:hyperlink>
      <w:r>
        <w:rPr>
          <w:rFonts w:ascii="Times New Roman" w:hAnsi="Times New Roman"/>
          <w:color w:val="1f1f1f"/>
          <w:sz w:val="20"/>
        </w:rPr>
        <w:t xml:space="preserve"> (“In an MDL, where individual cases are consolidated for pretrial purpose but remain fundamentally separate actions, </w:t>
      </w:r>
      <w:hyperlink r:id="r108">
        <w:r>
          <w:rPr>
            <w:rFonts w:ascii="Times New Roman" w:hAnsi="Times New Roman"/>
            <w:color w:val="006fc4"/>
            <w:sz w:val="20"/>
          </w:rPr>
          <w:t>28 U.S.C. § 1407</w:t>
        </w:r>
      </w:hyperlink>
      <w:r>
        <w:rPr>
          <w:rFonts w:ascii="Times New Roman" w:hAnsi="Times New Roman"/>
          <w:color w:val="1f1f1f"/>
          <w:sz w:val="20"/>
        </w:rPr>
        <w:t>, it appears that each case would need to be analyzed separately to determine the duty to defend.”).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National Foam's authorities to the contrary are distinguishable. For example, it cites </w:t>
      </w:r>
      <w:hyperlink r:id="r109">
        <w:r>
          <w:rPr>
            <w:rFonts w:ascii="Times New Roman" w:hAnsi="Times New Roman"/>
            <w:i/>
            <w:color w:val="006fc4"/>
            <w:sz w:val="20"/>
          </w:rPr>
          <w:t>Buss v. Superior Court</w:t>
        </w:r>
      </w:hyperlink>
      <w:r>
        <w:rPr>
          <w:rFonts w:ascii="Times New Roman" w:hAnsi="Times New Roman"/>
          <w:color w:val="1f1f1f"/>
          <w:sz w:val="20"/>
        </w:rPr>
        <w:t xml:space="preserve"> for the proposition that an insurer “cannot parse the claims, dividing those that are at least potentially covered from those that are not.” </w:t>
      </w:r>
      <w:hyperlink r:id="r110">
        <w:r>
          <w:rPr>
            <w:rFonts w:ascii="Times New Roman" w:hAnsi="Times New Roman"/>
            <w:color w:val="006fc4"/>
            <w:sz w:val="20"/>
          </w:rPr>
          <w:t>16 Cal. 4th 35, 49, 65 Cal.Rptr.2d 366, 939 P.2d 766 (1997)</w:t>
        </w:r>
      </w:hyperlink>
      <w:r>
        <w:rPr>
          <w:rFonts w:ascii="Times New Roman" w:hAnsi="Times New Roman"/>
          <w:color w:val="1f1f1f"/>
          <w:sz w:val="20"/>
        </w:rPr>
        <w:t xml:space="preserve">. But </w:t>
      </w:r>
      <w:hyperlink r:id="r111">
        <w:r>
          <w:rPr>
            <w:rFonts w:ascii="Times New Roman" w:hAnsi="Times New Roman"/>
            <w:i/>
            <w:color w:val="006fc4"/>
            <w:sz w:val="20"/>
          </w:rPr>
          <w:t>Buss</w:t>
        </w:r>
      </w:hyperlink>
      <w:r>
        <w:rPr>
          <w:rFonts w:ascii="Times New Roman" w:hAnsi="Times New Roman"/>
          <w:color w:val="1f1f1f"/>
          <w:sz w:val="20"/>
        </w:rPr>
        <w:t xml:space="preserve"> was not a MDL, and the inseparable claims were multiple causes of action brought by one plaintiff against one insured. </w:t>
      </w:r>
      <w:hyperlink r:id="r112">
        <w:r>
          <w:rPr>
            <w:rFonts w:ascii="Times New Roman" w:hAnsi="Times New Roman"/>
            <w:i/>
            <w:color w:val="006fc4"/>
            <w:sz w:val="20"/>
          </w:rPr>
          <w:t>Id.</w:t>
        </w:r>
      </w:hyperlink>
      <w:r>
        <w:rPr>
          <w:rFonts w:ascii="Times New Roman" w:hAnsi="Times New Roman"/>
          <w:color w:val="1f1f1f"/>
          <w:sz w:val="20"/>
        </w:rPr>
        <w:t xml:space="preserve"> For the practical and substantive reasons above, the reasoning requiring defense of an entire action based one covered claim cannot extend to defending an entire MDL based on one action.</w:t>
      </w:r>
      <w:bookmarkStart w:id="166" w:name="co_fnRef_B00102083311327_ID0EROAI_1"/>
      <w:hyperlink w:anchor="co_footnote_B00102083311327_1">
        <w:r>
          <w:rPr>
            <w:rFonts w:ascii="Times New Roman" w:hAnsi="Times New Roman"/>
            <w:color w:val="006fc4"/>
            <w:sz w:val="16"/>
            <w:vertAlign w:val="superscript"/>
          </w:rPr>
          <w:t>10</w:t>
        </w:r>
      </w:hyperlink>
      <w:bookmarkEnd w:id="166"/>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Thus, summary judgment is not warranted across all direct-exposure claims or the 182 identified cases.</w:t>
      </w:r>
    </w:p>
    <w:p>
      <w:pPr>
        <w:spacing w:before="0" w:after="0" w:line="275" w:lineRule="atLeast"/>
        <w:jc w:val="both"/>
      </w:pPr>
      <w:r>
        <w:rPr>
          <w:rFonts w:ascii="Times New Roman" w:hAnsi="Times New Roman"/>
          <w:color w:val="1f1f1f"/>
          <w:sz w:val="20"/>
        </w:rPr>
        <w:t> </w:t>
      </w:r>
    </w:p>
    <w:bookmarkStart w:id="167" w:name="co_anchor_I0f458081feba11ef9eabfecdde2d"/>
    <w:bookmarkStart w:id="168" w:name="co_anchor_I0f458081feba11ef9eabfecdd2"/>
    <w:p>
      <w:pPr>
        <w:spacing w:before="400" w:after="0" w:line="275" w:lineRule="atLeast"/>
      </w:pPr>
      <w:r>
        <w:rPr>
          <w:rFonts w:ascii="Times New Roman" w:hAnsi="Times New Roman"/>
          <w:b/>
          <w:color w:val="1f1f1f"/>
          <w:sz w:val="20"/>
        </w:rPr>
        <w:t>2. The Allen Case</w:t>
      </w:r>
    </w:p>
    <w:bookmarkEnd w:id="168"/>
    <w:bookmarkEnd w:id="167"/>
    <w:p>
      <w:pPr>
        <w:spacing w:before="0" w:after="0" w:line="275" w:lineRule="atLeast"/>
        <w:jc w:val="both"/>
      </w:pPr>
      <w:hyperlink w:anchor="co_hn_anchor_F112083311327_1">
        <w:r>
          <w:rPr>
            <w:rFonts w:ascii="Times New Roman" w:hAnsi="Times New Roman"/>
            <w:b/>
            <w:color w:val="252525"/>
            <w:sz w:val="20"/>
            <w:bdr w:val="none" w:space="2"/>
            <w:vertAlign w:val="superscript"/>
          </w:rPr>
          <w:t>[11]</w:t>
        </w:r>
      </w:hyperlink>
      <w:r>
        <w:rPr>
          <w:rFonts w:ascii="Times New Roman" w:hAnsi="Times New Roman"/>
          <w:color w:val="1f1f1f"/>
          <w:sz w:val="20"/>
        </w:rPr>
        <w:t>The issue is whether either party is entitled to summary judgment on the Allen case. In Allen, nineteen current or retired firefighters allege injuries resulting from exposure to National Foam's products during their employment.</w:t>
      </w:r>
      <w:bookmarkStart w:id="169" w:name="co_fnRef_B00112083311327_ID0EJRAI_1"/>
      <w:hyperlink w:anchor="co_footnote_B00112083311327_1">
        <w:r>
          <w:rPr>
            <w:rFonts w:ascii="Times New Roman" w:hAnsi="Times New Roman"/>
            <w:color w:val="006fc4"/>
            <w:sz w:val="16"/>
            <w:vertAlign w:val="superscript"/>
          </w:rPr>
          <w:t>11</w:t>
        </w:r>
      </w:hyperlink>
      <w:bookmarkEnd w:id="169"/>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National Foam moves for summary judgment because the Allen plaintiffs allege direct exposure and therefore the pollution exception does not apply. The carriers move for summary judgment on the theory that the alleged intentional misconduct is not an “accident” as required by the policy.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There is a duty to defend based on possible indemnity. The pollution exception does not apply because of the plaintiffs’ theory of harm (i.e., direct exposure to the products) and there is potential indemnity because the plaintiffs allege an accident.</w:t>
      </w:r>
    </w:p>
    <w:p>
      <w:pPr>
        <w:spacing w:before="0" w:after="0" w:line="275" w:lineRule="atLeast"/>
        <w:jc w:val="both"/>
      </w:pPr>
      <w:r>
        <w:rPr>
          <w:rFonts w:ascii="Times New Roman" w:hAnsi="Times New Roman"/>
          <w:color w:val="1f1f1f"/>
          <w:sz w:val="20"/>
        </w:rPr>
        <w:t> </w:t>
      </w:r>
    </w:p>
    <w:bookmarkStart w:id="170" w:name="co_anchor_I0f466ae1feba11ef9eabfecdde2d"/>
    <w:bookmarkStart w:id="171" w:name="co_anchor_I0f466ae1feba11ef9eabfecdd2"/>
    <w:p>
      <w:pPr>
        <w:pBdr>
          <w:left w:val="none" w:space="10"/>
        </w:pBdr>
        <w:spacing w:before="400" w:after="0" w:line="275" w:lineRule="atLeast"/>
        <w:ind w:left="200" w:right="0" w:firstLine="0"/>
      </w:pPr>
      <w:r>
        <w:rPr>
          <w:rFonts w:ascii="Times New Roman" w:hAnsi="Times New Roman"/>
          <w:b/>
          <w:color w:val="1f1f1f"/>
          <w:sz w:val="20"/>
        </w:rPr>
        <w:t>2.1 The Pollution Exception Does Not Apply</w:t>
      </w:r>
    </w:p>
    <w:bookmarkEnd w:id="171"/>
    <w:bookmarkEnd w:id="170"/>
    <w:p>
      <w:pPr>
        <w:spacing w:before="0" w:after="0" w:line="275" w:lineRule="atLeast"/>
        <w:jc w:val="both"/>
      </w:pPr>
      <w:r>
        <w:rPr>
          <w:rFonts w:ascii="Times New Roman" w:hAnsi="Times New Roman"/>
          <w:color w:val="1f1f1f"/>
          <w:sz w:val="20"/>
        </w:rPr>
        <w:t>The first issue is whether indemnity is precluded by the pollution exception, eliminating the duty to defend. The pollution exception does not apply because the Allen plaintiffs allege direct exposure to National Foam's products during their ordinary use, which is not pollution.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22083311327_1">
        <w:r>
          <w:rPr>
            <w:rFonts w:ascii="Times New Roman" w:hAnsi="Times New Roman"/>
            <w:b/>
            <w:color w:val="252525"/>
            <w:sz w:val="20"/>
            <w:bdr w:val="none" w:space="2"/>
            <w:vertAlign w:val="superscript"/>
          </w:rPr>
          <w:t>[12]</w:t>
        </w:r>
      </w:hyperlink>
      <w:r>
        <w:rPr>
          <w:rFonts w:ascii="Times New Roman" w:hAnsi="Times New Roman"/>
          <w:color w:val="1f1f1f"/>
          <w:sz w:val="20"/>
        </w:rPr>
        <w:t xml:space="preserve"> </w:t>
      </w:r>
      <w:hyperlink w:anchor="co_hn_anchor_F132083311327_1">
        <w:r>
          <w:rPr>
            <w:rFonts w:ascii="Times New Roman" w:hAnsi="Times New Roman"/>
            <w:b/>
            <w:color w:val="252525"/>
            <w:sz w:val="20"/>
            <w:bdr w:val="none" w:space="2"/>
            <w:vertAlign w:val="superscript"/>
          </w:rPr>
          <w:t>[13]</w:t>
        </w:r>
      </w:hyperlink>
      <w:r>
        <w:rPr>
          <w:rFonts w:ascii="Times New Roman" w:hAnsi="Times New Roman"/>
          <w:color w:val="1f1f1f"/>
          <w:sz w:val="20"/>
        </w:rPr>
        <w:t xml:space="preserve"> </w:t>
      </w:r>
      <w:hyperlink w:anchor="co_hn_anchor_F142083311327_1">
        <w:r>
          <w:rPr>
            <w:rFonts w:ascii="Times New Roman" w:hAnsi="Times New Roman"/>
            <w:b/>
            <w:color w:val="252525"/>
            <w:sz w:val="20"/>
            <w:bdr w:val="none" w:space="2"/>
            <w:vertAlign w:val="superscript"/>
          </w:rPr>
          <w:t>[14]</w:t>
        </w:r>
      </w:hyperlink>
      <w:r>
        <w:rPr>
          <w:rFonts w:ascii="Times New Roman" w:hAnsi="Times New Roman"/>
          <w:color w:val="1f1f1f"/>
          <w:sz w:val="20"/>
        </w:rPr>
        <w:t xml:space="preserve">Coverage exclusions are “strictly construed against the insurer and liberally interpreted in favor of the insured.” </w:t>
      </w:r>
      <w:hyperlink r:id="r113">
        <w:r>
          <w:rPr>
            <w:rFonts w:ascii="Times New Roman" w:hAnsi="Times New Roman"/>
            <w:i/>
            <w:color w:val="006fc4"/>
            <w:sz w:val="20"/>
          </w:rPr>
          <w:t>Meraz v. Farmers Ins. Exch.</w:t>
        </w:r>
        <w:r>
          <w:rPr>
            <w:rFonts w:ascii="Times New Roman" w:hAnsi="Times New Roman"/>
            <w:color w:val="006fc4"/>
            <w:sz w:val="20"/>
          </w:rPr>
          <w:t>, 92 Cal. App. 4th 321, 324, 111 Cal.Rptr.2d 804 (2001)</w:t>
        </w:r>
      </w:hyperlink>
      <w:r>
        <w:rPr>
          <w:rFonts w:ascii="Times New Roman" w:hAnsi="Times New Roman"/>
          <w:color w:val="1f1f1f"/>
          <w:sz w:val="20"/>
        </w:rPr>
        <w:t xml:space="preserve">. Exclusions are enforceable only if the language is “clear and unmistakable.” </w:t>
      </w:r>
      <w:hyperlink r:id="r114">
        <w:r>
          <w:rPr>
            <w:rFonts w:ascii="Times New Roman" w:hAnsi="Times New Roman"/>
            <w:i/>
            <w:color w:val="006fc4"/>
            <w:sz w:val="20"/>
          </w:rPr>
          <w:t>State Farm Mut. Auto. Ins. Co. v. Jacober</w:t>
        </w:r>
        <w:r>
          <w:rPr>
            <w:rFonts w:ascii="Times New Roman" w:hAnsi="Times New Roman"/>
            <w:color w:val="006fc4"/>
            <w:sz w:val="20"/>
          </w:rPr>
          <w:t>, 10 Cal. 3d 193, 201–202, 110 Cal.Rptr. 1, 514 P.2d 953 (1973)</w:t>
        </w:r>
      </w:hyperlink>
      <w:r>
        <w:rPr>
          <w:rFonts w:ascii="Times New Roman" w:hAnsi="Times New Roman"/>
          <w:color w:val="1f1f1f"/>
          <w:sz w:val="20"/>
        </w:rPr>
        <w:t xml:space="preserve">. The insurer has the burden to establish that the exclusion applies. </w:t>
      </w:r>
      <w:hyperlink r:id="r115">
        <w:r>
          <w:rPr>
            <w:rFonts w:ascii="Times New Roman" w:hAnsi="Times New Roman"/>
            <w:i/>
            <w:color w:val="006fc4"/>
            <w:sz w:val="20"/>
          </w:rPr>
          <w:t>MacKinnon</w:t>
        </w:r>
        <w:r>
          <w:rPr>
            <w:rFonts w:ascii="Times New Roman" w:hAnsi="Times New Roman"/>
            <w:color w:val="006fc4"/>
            <w:sz w:val="20"/>
          </w:rPr>
          <w:t>, 31 Cal. 4th at 648, 3 Cal.Rptr.3d 228, 73 P.3d 1205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general language of the policy favors coverage. It provides protection where National Foam is legally obligated to pay damages based on claims of bodily injury or property damage. This language “connotes general protection for alleged bodily injury caused by the insured.” </w:t>
      </w:r>
      <w:hyperlink r:id="r116">
        <w:r>
          <w:rPr>
            <w:rFonts w:ascii="Times New Roman" w:hAnsi="Times New Roman"/>
            <w:i/>
            <w:color w:val="006fc4"/>
            <w:sz w:val="20"/>
          </w:rPr>
          <w:t>Gray v. Zurich Ins. Co.</w:t>
        </w:r>
        <w:r>
          <w:rPr>
            <w:rFonts w:ascii="Times New Roman" w:hAnsi="Times New Roman"/>
            <w:color w:val="006fc4"/>
            <w:sz w:val="20"/>
          </w:rPr>
          <w:t>, 65 Cal. 2d 263, 271, 54 Cal.Rptr. 104, 419 P.2d 168 (1966)</w:t>
        </w:r>
      </w:hyperlink>
      <w:r>
        <w:rPr>
          <w:rFonts w:ascii="Times New Roman" w:hAnsi="Times New Roman"/>
          <w:color w:val="1f1f1f"/>
          <w:sz w:val="20"/>
        </w:rPr>
        <w:t xml:space="preserve">. “Coverage will therefore be found unless the pollution exclusion conspicuously, plainly and clearly apprises the insured that certain acts of ordinary negligence,” namely, directly exposing users of its products to PFAS, “will not be covered.” </w:t>
      </w:r>
      <w:hyperlink r:id="r117">
        <w:r>
          <w:rPr>
            <w:rFonts w:ascii="Times New Roman" w:hAnsi="Times New Roman"/>
            <w:i/>
            <w:color w:val="006fc4"/>
            <w:sz w:val="20"/>
          </w:rPr>
          <w:t>MacKinnon</w:t>
        </w:r>
        <w:r>
          <w:rPr>
            <w:rFonts w:ascii="Times New Roman" w:hAnsi="Times New Roman"/>
            <w:color w:val="006fc4"/>
            <w:sz w:val="20"/>
          </w:rPr>
          <w:t>, 31 Cal. 4th at 649, 3 Cal.Rptr.3d 228, 73 P.3d 1205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72" w:name="co_pp_sp_999_5_1"/>
      <w:r>
        <w:rPr>
          <w:rFonts w:ascii="Times New Roman" w:hAnsi="Times New Roman"/>
          <w:b/>
          <w:color w:val="000000"/>
          <w:sz w:val="20"/>
        </w:rPr>
        <w:t>*5</w:t>
      </w:r>
      <w:bookmarkEnd w:id="172"/>
      <w:r>
        <w:rPr>
          <w:rFonts w:ascii="Times New Roman" w:hAnsi="Times New Roman"/>
          <w:color w:val="1f1f1f"/>
          <w:sz w:val="20"/>
        </w:rPr>
        <w:t xml:space="preserve"> Here, the pollution exclusion does not conspicuously, plainly, and clearly apprise National Foam that the policy does not cover users harmed by chemicals in the product. The carriers argue that the source of the alleged harm — PFAS — are a chemical, and chemicals are specifically enumerated as a type of pollutant. But it does not follow that all harms caused by PFAS are therefore a type of pollution.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52083311327_1">
        <w:r>
          <w:rPr>
            <w:rFonts w:ascii="Times New Roman" w:hAnsi="Times New Roman"/>
            <w:b/>
            <w:color w:val="252525"/>
            <w:sz w:val="20"/>
            <w:bdr w:val="none" w:space="2"/>
            <w:vertAlign w:val="superscript"/>
          </w:rPr>
          <w:t>[15]</w:t>
        </w:r>
      </w:hyperlink>
      <w:r>
        <w:rPr>
          <w:rFonts w:ascii="Times New Roman" w:hAnsi="Times New Roman"/>
          <w:color w:val="1f1f1f"/>
          <w:sz w:val="20"/>
        </w:rPr>
        <w:t xml:space="preserve">Instead, courts recognize that “pollution” is not just a class of substances (i.e., “smoke, vapor, soot, fumes, acids, alkalis, chemicals, and waste”), but also a mechanism of harm. For example, in </w:t>
      </w:r>
      <w:hyperlink r:id="r118">
        <w:r>
          <w:rPr>
            <w:rFonts w:ascii="Times New Roman" w:hAnsi="Times New Roman"/>
            <w:i/>
            <w:color w:val="006fc4"/>
            <w:sz w:val="20"/>
          </w:rPr>
          <w:t>MacKinnon</w:t>
        </w:r>
      </w:hyperlink>
      <w:r>
        <w:rPr>
          <w:rFonts w:ascii="Times New Roman" w:hAnsi="Times New Roman"/>
          <w:color w:val="1f1f1f"/>
          <w:sz w:val="20"/>
        </w:rPr>
        <w:t xml:space="preserve">, the insured allegedly caused the death of a tenant by using pesticide to kill yellow jackets in an apartment building. </w:t>
      </w:r>
      <w:hyperlink r:id="r119">
        <w:r>
          <w:rPr>
            <w:rFonts w:ascii="Times New Roman" w:hAnsi="Times New Roman"/>
            <w:color w:val="006fc4"/>
            <w:sz w:val="20"/>
          </w:rPr>
          <w:t>31 Cal. 4th at 640, 3 Cal.Rptr.3d 228, 73 P.3d 1205</w:t>
        </w:r>
      </w:hyperlink>
      <w:r>
        <w:rPr>
          <w:rFonts w:ascii="Times New Roman" w:hAnsi="Times New Roman"/>
          <w:color w:val="1f1f1f"/>
          <w:sz w:val="20"/>
        </w:rPr>
        <w:t xml:space="preserve">. The California Supreme Court held that the insured's contractor general-liability policy applied notwithstanding a pollution exception — even though the harm was chemical in nature — because the mechanism of harm was not pollution. </w:t>
      </w:r>
      <w:hyperlink r:id="r120">
        <w:r>
          <w:rPr>
            <w:rFonts w:ascii="Times New Roman" w:hAnsi="Times New Roman"/>
            <w:i/>
            <w:color w:val="006fc4"/>
            <w:sz w:val="20"/>
          </w:rPr>
          <w:t>Id.</w:t>
        </w:r>
      </w:hyperlink>
      <w:r>
        <w:rPr>
          <w:rFonts w:ascii="Times New Roman" w:hAnsi="Times New Roman"/>
          <w:color w:val="1f1f1f"/>
          <w:sz w:val="20"/>
        </w:rPr>
        <w:t xml:space="preserve"> As the Court noted, in the insurer's view, claims arising from a “child's accidental ingestion of a pesticide or other toxic substance negligently left in an empty soft drink bottle would be barred” even though “few if any would think of these injuries as arising from ‘pollution’ in any recognizable sense of that term.” </w:t>
      </w:r>
      <w:hyperlink r:id="r121">
        <w:r>
          <w:rPr>
            <w:rFonts w:ascii="Times New Roman" w:hAnsi="Times New Roman"/>
            <w:i/>
            <w:color w:val="006fc4"/>
            <w:sz w:val="20"/>
          </w:rPr>
          <w:t>Id.</w:t>
        </w:r>
        <w:r>
          <w:rPr>
            <w:rFonts w:ascii="Times New Roman" w:hAnsi="Times New Roman"/>
            <w:color w:val="006fc4"/>
            <w:sz w:val="20"/>
          </w:rPr>
          <w:t xml:space="preserve"> at 650, 3 Cal.Rptr.3d 228, 73 P.3d 1205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Here, too, the harms did not arise from “pollution” in any recognizable sense. The Allen plaintiffs allege that they were exposed to PFAS through their ordinary use of National Foam's products, not via general environmental pollution (i.e., a contaminated water supply). Thus, the pollution provision, which is strictly construed to injuries resulting from “discharge, dispersal, seepage, migration, release or escape of ‘pollutants’ ” does not clearly remove coverage for the alleged injuries. </w:t>
      </w:r>
      <w:hyperlink r:id="r122">
        <w:r>
          <w:rPr>
            <w:rFonts w:ascii="Times New Roman" w:hAnsi="Times New Roman"/>
            <w:i/>
            <w:color w:val="006fc4"/>
            <w:sz w:val="20"/>
          </w:rPr>
          <w:t>Colony Ins. Co. v. Buckeye Fire Equip. Co.</w:t>
        </w:r>
        <w:r>
          <w:rPr>
            <w:rFonts w:ascii="Times New Roman" w:hAnsi="Times New Roman"/>
            <w:color w:val="006fc4"/>
            <w:sz w:val="20"/>
          </w:rPr>
          <w:t>, 2020 WL 6152381 (W.D.N.C. Oct. 20, 2020)</w:t>
        </w:r>
      </w:hyperlink>
      <w:r>
        <w:rPr>
          <w:rFonts w:ascii="Times New Roman" w:hAnsi="Times New Roman"/>
          <w:color w:val="1f1f1f"/>
          <w:sz w:val="20"/>
        </w:rPr>
        <w:t xml:space="preserve"> (pollution exclusion did not apply where firefighters alleged direct exposure to PFAS from use of fire-suppressant foam).</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This is particularly true based on the nature of the policy. Unlike </w:t>
      </w:r>
      <w:hyperlink r:id="r123">
        <w:r>
          <w:rPr>
            <w:rFonts w:ascii="Times New Roman" w:hAnsi="Times New Roman"/>
            <w:i/>
            <w:color w:val="006fc4"/>
            <w:sz w:val="20"/>
          </w:rPr>
          <w:t>MacKinnon</w:t>
        </w:r>
      </w:hyperlink>
      <w:r>
        <w:rPr>
          <w:rFonts w:ascii="Times New Roman" w:hAnsi="Times New Roman"/>
          <w:color w:val="1f1f1f"/>
          <w:sz w:val="20"/>
        </w:rPr>
        <w:t>, where the insured merely used a chemical product, here, the insured is the manufacturer and seller of chemical products. National Foam purchased insurance policies to cover claims arising from those chemical products. Now, the carriers effectively argue that all injuries caused by chemicals fall under the exception, raising the question of what, if anything, would be covered by the policy in the carriers’ view. Regardless, in view of National Foam's expectations, the carriers have not met their burden of showing that the exception clearly provided notice that the alleged conduct would not be covered.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Thus, the pollution exception does not apply.</w:t>
      </w:r>
    </w:p>
    <w:p>
      <w:pPr>
        <w:spacing w:before="0" w:after="0" w:line="275" w:lineRule="atLeast"/>
        <w:jc w:val="both"/>
      </w:pPr>
      <w:r>
        <w:rPr>
          <w:rFonts w:ascii="Times New Roman" w:hAnsi="Times New Roman"/>
          <w:color w:val="1f1f1f"/>
          <w:sz w:val="20"/>
        </w:rPr>
        <w:t> </w:t>
      </w:r>
    </w:p>
    <w:bookmarkStart w:id="173" w:name="co_anchor_I0f4a6281feba11ef9eabfecdde2d"/>
    <w:bookmarkStart w:id="174" w:name="co_anchor_I0f4a6281feba11ef9eabfecdd2"/>
    <w:p>
      <w:pPr>
        <w:pBdr>
          <w:left w:val="none" w:space="10"/>
        </w:pBdr>
        <w:spacing w:before="400" w:after="0" w:line="275" w:lineRule="atLeast"/>
        <w:ind w:left="200" w:right="0" w:firstLine="0"/>
      </w:pPr>
      <w:r>
        <w:rPr>
          <w:rFonts w:ascii="Times New Roman" w:hAnsi="Times New Roman"/>
          <w:b/>
          <w:color w:val="1f1f1f"/>
          <w:sz w:val="20"/>
        </w:rPr>
        <w:t>2.2 The Allen Plaintiffs Allege an Occurrence</w:t>
      </w:r>
    </w:p>
    <w:bookmarkEnd w:id="174"/>
    <w:bookmarkEnd w:id="173"/>
    <w:p>
      <w:pPr>
        <w:spacing w:before="0" w:after="0" w:line="275" w:lineRule="atLeast"/>
        <w:jc w:val="both"/>
      </w:pPr>
      <w:hyperlink w:anchor="co_hn_anchor_F162083311327_1">
        <w:r>
          <w:rPr>
            <w:rFonts w:ascii="Times New Roman" w:hAnsi="Times New Roman"/>
            <w:b/>
            <w:color w:val="252525"/>
            <w:sz w:val="20"/>
            <w:bdr w:val="none" w:space="2"/>
            <w:vertAlign w:val="superscript"/>
          </w:rPr>
          <w:t>[16]</w:t>
        </w:r>
      </w:hyperlink>
      <w:r>
        <w:rPr>
          <w:rFonts w:ascii="Times New Roman" w:hAnsi="Times New Roman"/>
          <w:color w:val="1f1f1f"/>
          <w:sz w:val="20"/>
        </w:rPr>
        <w:t>The second issue is whether the duty to defend is precluded by the lack of an occurrence. The duty to defend applies because the Allen plaintiffs allege both intentional and unintentional conduct, and therefore there is a potential for indemnity.</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72083311327_1">
        <w:r>
          <w:rPr>
            <w:rFonts w:ascii="Times New Roman" w:hAnsi="Times New Roman"/>
            <w:b/>
            <w:color w:val="252525"/>
            <w:sz w:val="20"/>
            <w:bdr w:val="none" w:space="2"/>
            <w:vertAlign w:val="superscript"/>
          </w:rPr>
          <w:t>[17]</w:t>
        </w:r>
      </w:hyperlink>
      <w:r>
        <w:rPr>
          <w:rFonts w:ascii="Times New Roman" w:hAnsi="Times New Roman"/>
          <w:color w:val="1f1f1f"/>
          <w:sz w:val="20"/>
        </w:rPr>
        <w:t xml:space="preserve">An insurer's duty to defend is broader than its duty to indemnify. </w:t>
      </w:r>
      <w:hyperlink r:id="r124">
        <w:r>
          <w:rPr>
            <w:rFonts w:ascii="Times New Roman" w:hAnsi="Times New Roman"/>
            <w:i/>
            <w:color w:val="006fc4"/>
            <w:sz w:val="20"/>
          </w:rPr>
          <w:t>Montrose</w:t>
        </w:r>
        <w:r>
          <w:rPr>
            <w:rFonts w:ascii="Times New Roman" w:hAnsi="Times New Roman"/>
            <w:color w:val="006fc4"/>
            <w:sz w:val="20"/>
          </w:rPr>
          <w:t>, 6 Cal. 4th 287 at 295, 24 Cal.Rptr.2d 467, 861 P.2d 1153</w:t>
        </w:r>
      </w:hyperlink>
      <w:r>
        <w:rPr>
          <w:rFonts w:ascii="Times New Roman" w:hAnsi="Times New Roman"/>
          <w:color w:val="1f1f1f"/>
          <w:sz w:val="20"/>
        </w:rPr>
        <w:t xml:space="preserve">. Even the potential of indemnity triggers the duty to defend. </w:t>
      </w:r>
      <w:hyperlink r:id="r125">
        <w:r>
          <w:rPr>
            <w:rFonts w:ascii="Times New Roman" w:hAnsi="Times New Roman"/>
            <w:i/>
            <w:color w:val="006fc4"/>
            <w:sz w:val="20"/>
          </w:rPr>
          <w:t>Scottsdale Ins. Co.</w:t>
        </w:r>
        <w:r>
          <w:rPr>
            <w:rFonts w:ascii="Times New Roman" w:hAnsi="Times New Roman"/>
            <w:color w:val="006fc4"/>
            <w:sz w:val="20"/>
          </w:rPr>
          <w:t>, 36 Cal. 4th at 654–55, 31 Cal.Rptr.3d 147, 115 P.3d 460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Here, the policies apply only to bodily injury or property damage caused by an occurrence. They define an occurrence as “an accident, including continuous or repeated exposure to substantially the same generally harmful condition.”</w:t>
      </w:r>
      <w:bookmarkStart w:id="175" w:name="co_fnRef_B00122083311327_ID0EW6AI_1"/>
      <w:hyperlink w:anchor="co_footnote_B00122083311327_1">
        <w:r>
          <w:rPr>
            <w:rFonts w:ascii="Times New Roman" w:hAnsi="Times New Roman"/>
            <w:color w:val="006fc4"/>
            <w:sz w:val="16"/>
            <w:vertAlign w:val="superscript"/>
          </w:rPr>
          <w:t>12</w:t>
        </w:r>
      </w:hyperlink>
      <w:bookmarkEnd w:id="175"/>
      <w:r>
        <w:rPr>
          <w:rFonts w:ascii="Times New Roman" w:hAnsi="Times New Roman"/>
          <w:color w:val="1f1f1f"/>
          <w:sz w:val="20"/>
        </w:rPr>
        <w:t xml:space="preserve"> The carriers contend that the policy does not apply because the Allen plaintiffs allege intentional conduct; namely, that National Foam knew its products were dangerous but sold them anyways.</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76" w:name="co_pp_sp_999_6_1"/>
      <w:r>
        <w:rPr>
          <w:rFonts w:ascii="Times New Roman" w:hAnsi="Times New Roman"/>
          <w:b/>
          <w:color w:val="000000"/>
          <w:sz w:val="20"/>
        </w:rPr>
        <w:t>*6</w:t>
      </w:r>
      <w:bookmarkEnd w:id="176"/>
      <w:r>
        <w:rPr>
          <w:rFonts w:ascii="Times New Roman" w:hAnsi="Times New Roman"/>
          <w:color w:val="1f1f1f"/>
          <w:sz w:val="20"/>
        </w:rPr>
        <w:t xml:space="preserve"> In response, National Foam argues that the policies do not have an accident requirement because, alternatively, they cover injuries from continuous or repeated exposure to harmful conditions. Not so. Under National Foam's interpretation, the insurer would be liable for any known risk or intentional tort involving repeated exposure to harmful conditions. This belies the plain language of the contract — which specifies that accidents </w:t>
      </w:r>
      <w:r>
        <w:rPr>
          <w:rFonts w:ascii="Times New Roman" w:hAnsi="Times New Roman"/>
          <w:i/>
          <w:color w:val="1f1f1f"/>
          <w:sz w:val="20"/>
        </w:rPr>
        <w:t>include</w:t>
      </w:r>
      <w:r>
        <w:rPr>
          <w:rFonts w:ascii="Times New Roman" w:hAnsi="Times New Roman"/>
          <w:color w:val="1f1f1f"/>
          <w:sz w:val="20"/>
        </w:rPr>
        <w:t xml:space="preserve"> repeated exposure — and the general principle that insurance protects against risk. </w:t>
      </w:r>
      <w:hyperlink r:id="r126">
        <w:r>
          <w:rPr>
            <w:rFonts w:ascii="Times New Roman" w:hAnsi="Times New Roman"/>
            <w:i/>
            <w:color w:val="006fc4"/>
            <w:sz w:val="20"/>
          </w:rPr>
          <w:t>Waller v. Truck Ins. Exch., Inc.</w:t>
        </w:r>
        <w:r>
          <w:rPr>
            <w:rFonts w:ascii="Times New Roman" w:hAnsi="Times New Roman"/>
            <w:color w:val="006fc4"/>
            <w:sz w:val="20"/>
          </w:rPr>
          <w:t>, 11 Cal. 4th 1, 17, 44 Cal.Rptr.2d 370, 900 P.2d 619 (1995)</w:t>
        </w:r>
      </w:hyperlink>
      <w:r>
        <w:rPr>
          <w:rFonts w:ascii="Times New Roman" w:hAnsi="Times New Roman"/>
          <w:color w:val="1f1f1f"/>
          <w:sz w:val="20"/>
        </w:rPr>
        <w:t xml:space="preserve"> (“insurance generally protects against risks of loss rather than certainties of loss”).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82083311327_1">
        <w:r>
          <w:rPr>
            <w:rFonts w:ascii="Times New Roman" w:hAnsi="Times New Roman"/>
            <w:b/>
            <w:color w:val="252525"/>
            <w:sz w:val="20"/>
            <w:bdr w:val="none" w:space="2"/>
            <w:vertAlign w:val="superscript"/>
          </w:rPr>
          <w:t>[18]</w:t>
        </w:r>
      </w:hyperlink>
      <w:r>
        <w:rPr>
          <w:rFonts w:ascii="Times New Roman" w:hAnsi="Times New Roman"/>
          <w:color w:val="1f1f1f"/>
          <w:sz w:val="20"/>
        </w:rPr>
        <w:t>That said, the carriers’ argument fails because the Allen plaintiffs also allege an accident. The plaintiffs explicitly bring a claim for negligence.</w:t>
      </w:r>
      <w:bookmarkStart w:id="177" w:name="co_fnRef_B00132083311327_ID0EKCBI_1"/>
      <w:hyperlink w:anchor="co_footnote_B00132083311327_1">
        <w:r>
          <w:rPr>
            <w:rFonts w:ascii="Times New Roman" w:hAnsi="Times New Roman"/>
            <w:color w:val="006fc4"/>
            <w:sz w:val="16"/>
            <w:vertAlign w:val="superscript"/>
          </w:rPr>
          <w:t>13</w:t>
        </w:r>
      </w:hyperlink>
      <w:bookmarkEnd w:id="177"/>
      <w:r>
        <w:rPr>
          <w:rFonts w:ascii="Times New Roman" w:hAnsi="Times New Roman"/>
          <w:color w:val="1f1f1f"/>
          <w:sz w:val="20"/>
        </w:rPr>
        <w:t xml:space="preserve"> More importantly, the plaintiffs plead facts that indicate that an accident may have occurred. For example, they allege National Foam breached a duty of care in the design, manufacturing, and distribution of its products and that National Foam should have realized the risks posed by its conduct.</w:t>
      </w:r>
      <w:bookmarkStart w:id="178" w:name="co_fnRef_B00142083311327_ID0EXCBI_1"/>
      <w:hyperlink w:anchor="co_footnote_B00142083311327_1">
        <w:r>
          <w:rPr>
            <w:rFonts w:ascii="Times New Roman" w:hAnsi="Times New Roman"/>
            <w:color w:val="006fc4"/>
            <w:sz w:val="16"/>
            <w:vertAlign w:val="superscript"/>
          </w:rPr>
          <w:t>14</w:t>
        </w:r>
      </w:hyperlink>
      <w:bookmarkEnd w:id="178"/>
      <w:r>
        <w:rPr>
          <w:rFonts w:ascii="Times New Roman" w:hAnsi="Times New Roman"/>
          <w:color w:val="1f1f1f"/>
          <w:sz w:val="20"/>
        </w:rPr>
        <w:t xml:space="preserve"> When the case is resolved, perhaps it will be clear that there was no accident giving rise to coverage but, until then, the duty to defend applies.</w:t>
      </w:r>
      <w:bookmarkStart w:id="179" w:name="co_fnRef_B00152083311327_ID0EBDBI_1"/>
      <w:hyperlink w:anchor="co_footnote_B00152083311327_1">
        <w:r>
          <w:rPr>
            <w:rFonts w:ascii="Times New Roman" w:hAnsi="Times New Roman"/>
            <w:color w:val="006fc4"/>
            <w:sz w:val="16"/>
            <w:vertAlign w:val="superscript"/>
          </w:rPr>
          <w:t>15</w:t>
        </w:r>
      </w:hyperlink>
      <w:bookmarkEnd w:id="179"/>
      <w:r>
        <w:rPr>
          <w:rFonts w:ascii="Times New Roman" w:hAnsi="Times New Roman"/>
          <w:color w:val="1f1f1f"/>
          <w:sz w:val="20"/>
        </w:rPr>
        <w:t xml:space="preserve"> </w:t>
      </w:r>
      <w:hyperlink r:id="r127">
        <w:r>
          <w:rPr>
            <w:rFonts w:ascii="Times New Roman" w:hAnsi="Times New Roman"/>
            <w:i/>
            <w:color w:val="006fc4"/>
            <w:sz w:val="20"/>
          </w:rPr>
          <w:t>Montrose</w:t>
        </w:r>
        <w:r>
          <w:rPr>
            <w:rFonts w:ascii="Times New Roman" w:hAnsi="Times New Roman"/>
            <w:color w:val="006fc4"/>
            <w:sz w:val="20"/>
          </w:rPr>
          <w:t>, 6 Cal. 4th at 295, 24 Cal.Rptr.2d 467, 861 P.2d 1153</w:t>
        </w:r>
      </w:hyperlink>
      <w:r>
        <w:rPr>
          <w:rFonts w:ascii="Times New Roman" w:hAnsi="Times New Roman"/>
          <w:color w:val="1f1f1f"/>
          <w:sz w:val="20"/>
        </w:rPr>
        <w:t xml:space="preserve"> (duty to defend applies “until it has been shown that there is no potential for coverage”).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Thus, the carriers’ duty to defend is not foreclosed by lack of an alleged accident.</w:t>
      </w:r>
    </w:p>
    <w:p>
      <w:pPr>
        <w:spacing w:before="0" w:after="0" w:line="275" w:lineRule="atLeast"/>
        <w:jc w:val="both"/>
      </w:pPr>
      <w:r>
        <w:rPr>
          <w:rFonts w:ascii="Times New Roman" w:hAnsi="Times New Roman"/>
          <w:color w:val="1f1f1f"/>
          <w:sz w:val="20"/>
        </w:rPr>
        <w:t> </w:t>
      </w:r>
    </w:p>
    <w:p>
      <w:pPr>
        <w:spacing w:before="0" w:after="0" w:line="275" w:lineRule="atLeast"/>
        <w:jc w:val="center"/>
      </w:pPr>
      <w:r>
        <w:rPr>
          <w:rFonts w:ascii="Times New Roman" w:hAnsi="Times New Roman"/>
          <w:color w:val="1f1f1f"/>
          <w:sz w:val="20"/>
        </w:rPr>
        <w:t>* * *</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National Foam does not raise additional arguments on the Allen case, specifically. That said, the complaint plausibly alleges continuing and progressive injuries during the coverage periods arising from post-2013 sales, so the claim falls within the basic scope of coverage.</w:t>
      </w:r>
      <w:bookmarkStart w:id="180" w:name="co_fnRef_B00162083311327_ID0EBHBI_1"/>
      <w:hyperlink w:anchor="co_footnote_B00162083311327_1">
        <w:r>
          <w:rPr>
            <w:rFonts w:ascii="Times New Roman" w:hAnsi="Times New Roman"/>
            <w:color w:val="006fc4"/>
            <w:sz w:val="16"/>
            <w:vertAlign w:val="superscript"/>
          </w:rPr>
          <w:t>16</w:t>
        </w:r>
      </w:hyperlink>
      <w:bookmarkEnd w:id="180"/>
      <w:r>
        <w:rPr>
          <w:rFonts w:ascii="Times New Roman" w:hAnsi="Times New Roman"/>
          <w:color w:val="1f1f1f"/>
          <w:sz w:val="20"/>
        </w:rPr>
        <w:t xml:space="preserve"> Thus, National Foam's motion for summary judgment is granted and the carriers have a duty to defend the Allen case.</w:t>
      </w:r>
    </w:p>
    <w:p>
      <w:pPr>
        <w:spacing w:before="0" w:after="0" w:line="275" w:lineRule="atLeast"/>
        <w:jc w:val="both"/>
      </w:pPr>
      <w:r>
        <w:rPr>
          <w:rFonts w:ascii="Times New Roman" w:hAnsi="Times New Roman"/>
          <w:color w:val="1f1f1f"/>
          <w:sz w:val="20"/>
        </w:rPr>
        <w:t> </w:t>
      </w:r>
    </w:p>
    <w:bookmarkStart w:id="181" w:name="co_anchor_I0f4e8131feba11ef9eabfecdde2d"/>
    <w:bookmarkStart w:id="182" w:name="co_anchor_I0f4e8131feba11ef9eabfecdd2"/>
    <w:p>
      <w:pPr>
        <w:spacing w:before="400" w:after="0" w:line="275" w:lineRule="atLeast"/>
      </w:pPr>
      <w:r>
        <w:rPr>
          <w:rFonts w:ascii="Times New Roman" w:hAnsi="Times New Roman"/>
          <w:b/>
          <w:color w:val="1f1f1f"/>
          <w:sz w:val="20"/>
        </w:rPr>
        <w:t>3. The Newburgh and Bates Cases</w:t>
      </w:r>
    </w:p>
    <w:bookmarkEnd w:id="182"/>
    <w:bookmarkEnd w:id="181"/>
    <w:p>
      <w:pPr>
        <w:spacing w:before="0" w:after="0" w:line="275" w:lineRule="atLeast"/>
        <w:jc w:val="both"/>
      </w:pPr>
      <w:hyperlink w:anchor="co_hn_anchor_F192083311327_1">
        <w:r>
          <w:rPr>
            <w:rFonts w:ascii="Times New Roman" w:hAnsi="Times New Roman"/>
            <w:b/>
            <w:color w:val="252525"/>
            <w:sz w:val="20"/>
            <w:bdr w:val="none" w:space="2"/>
            <w:vertAlign w:val="superscript"/>
          </w:rPr>
          <w:t>[19]</w:t>
        </w:r>
      </w:hyperlink>
      <w:r>
        <w:rPr>
          <w:rFonts w:ascii="Times New Roman" w:hAnsi="Times New Roman"/>
          <w:color w:val="1f1f1f"/>
          <w:sz w:val="20"/>
        </w:rPr>
        <w:t>The issue is whether the carriers are entitled to summary judgment that they are not required to defend the Newburgh or Bates cases for either lack of an occurrence or the pollution exception.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the Newburgh suit, the city of Newburgh is the sole plaintiff. It complains of discharges, releases, spills, and/or disposals of hazardous materials (namely, PFAS) into the city's property, watershed, and water system.</w:t>
      </w:r>
      <w:bookmarkStart w:id="183" w:name="co_fnRef_B00172083311327_ID0E4IBI_1"/>
      <w:hyperlink w:anchor="co_footnote_B00172083311327_1">
        <w:r>
          <w:rPr>
            <w:rFonts w:ascii="Times New Roman" w:hAnsi="Times New Roman"/>
            <w:color w:val="006fc4"/>
            <w:sz w:val="16"/>
            <w:vertAlign w:val="superscript"/>
          </w:rPr>
          <w:t>17</w:t>
        </w:r>
      </w:hyperlink>
      <w:bookmarkEnd w:id="183"/>
      <w:r>
        <w:rPr>
          <w:rFonts w:ascii="Times New Roman" w:hAnsi="Times New Roman"/>
          <w:color w:val="1f1f1f"/>
          <w:sz w:val="20"/>
        </w:rPr>
        <w:t xml:space="preserve"> In the Bates suit, the plaintiffs are individuals who allege indirect exposure to PFAS via contaminated drinking water.</w:t>
      </w:r>
      <w:bookmarkStart w:id="184" w:name="co_fnRef_B00182083311327_ID0EHJBI_1"/>
      <w:hyperlink w:anchor="co_footnote_B00182083311327_1">
        <w:r>
          <w:rPr>
            <w:rFonts w:ascii="Times New Roman" w:hAnsi="Times New Roman"/>
            <w:color w:val="006fc4"/>
            <w:sz w:val="16"/>
            <w:vertAlign w:val="superscript"/>
          </w:rPr>
          <w:t>18</w:t>
        </w:r>
      </w:hyperlink>
      <w:bookmarkEnd w:id="184"/>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motion is granted because the pollution exception applies.</w:t>
      </w:r>
    </w:p>
    <w:p>
      <w:pPr>
        <w:spacing w:before="0" w:after="0" w:line="275" w:lineRule="atLeast"/>
        <w:jc w:val="both"/>
      </w:pPr>
      <w:r>
        <w:rPr>
          <w:rFonts w:ascii="Times New Roman" w:hAnsi="Times New Roman"/>
          <w:color w:val="1f1f1f"/>
          <w:sz w:val="20"/>
        </w:rPr>
        <w:t> </w:t>
      </w:r>
    </w:p>
    <w:bookmarkStart w:id="185" w:name="co_anchor_I0f4fb9b1feba11ef9eabfecdde2d"/>
    <w:bookmarkStart w:id="186" w:name="co_anchor_I0f4fb9b1feba11ef9eabfecdd2"/>
    <w:p>
      <w:pPr>
        <w:pBdr>
          <w:left w:val="none" w:space="10"/>
        </w:pBdr>
        <w:spacing w:before="400" w:after="0" w:line="275" w:lineRule="atLeast"/>
        <w:ind w:left="200" w:right="0" w:firstLine="0"/>
      </w:pPr>
      <w:r>
        <w:rPr>
          <w:rFonts w:ascii="Times New Roman" w:hAnsi="Times New Roman"/>
          <w:b/>
          <w:color w:val="1f1f1f"/>
          <w:sz w:val="20"/>
        </w:rPr>
        <w:t>3.1 Additional Discovery is Not Essential</w:t>
      </w:r>
    </w:p>
    <w:bookmarkEnd w:id="186"/>
    <w:bookmarkEnd w:id="185"/>
    <w:p>
      <w:pPr>
        <w:spacing w:before="0" w:after="0" w:line="275" w:lineRule="atLeast"/>
        <w:jc w:val="both"/>
      </w:pPr>
      <w:r>
        <w:rPr>
          <w:rFonts w:ascii="Times New Roman" w:hAnsi="Times New Roman"/>
          <w:color w:val="1f1f1f"/>
          <w:sz w:val="20"/>
        </w:rPr>
        <w:t>A threshold issue is whether the motion is premature without additional discovery. The pollution issue is ripe because the evidence identified by the plaintiff is not essential to its opposition.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02083311327_1">
        <w:r>
          <w:rPr>
            <w:rFonts w:ascii="Times New Roman" w:hAnsi="Times New Roman"/>
            <w:b/>
            <w:color w:val="252525"/>
            <w:sz w:val="20"/>
            <w:bdr w:val="none" w:space="2"/>
            <w:vertAlign w:val="superscript"/>
          </w:rPr>
          <w:t>[20]</w:t>
        </w:r>
      </w:hyperlink>
      <w:r>
        <w:rPr>
          <w:rFonts w:ascii="Times New Roman" w:hAnsi="Times New Roman"/>
          <w:color w:val="1f1f1f"/>
          <w:sz w:val="20"/>
        </w:rPr>
        <w:t xml:space="preserve">Courts may defer motions for summary judgment if “a nonmovant shows by affidavit or declaration that, for specified reasons, it cannot present facts essential to justify its opposition.” </w:t>
      </w:r>
      <w:hyperlink r:id="r128">
        <w:r>
          <w:rPr>
            <w:rFonts w:ascii="Times New Roman" w:hAnsi="Times New Roman"/>
            <w:color w:val="006fc4"/>
            <w:sz w:val="20"/>
          </w:rPr>
          <w:t>Fed. R. Civ. P. 56(d)</w:t>
        </w:r>
      </w:hyperlink>
      <w:r>
        <w:rPr>
          <w:rFonts w:ascii="Times New Roman" w:hAnsi="Times New Roman"/>
          <w:color w:val="1f1f1f"/>
          <w:sz w:val="20"/>
        </w:rPr>
        <w:t xml:space="preserve">. Additional discovery should generally be freely granted, but the non-movant must identify specific facts that are essential to its opposition. </w:t>
      </w:r>
      <w:hyperlink r:id="r129">
        <w:r>
          <w:rPr>
            <w:rFonts w:ascii="Times New Roman" w:hAnsi="Times New Roman"/>
            <w:i/>
            <w:color w:val="006fc4"/>
            <w:sz w:val="20"/>
          </w:rPr>
          <w:t>Stevens v. Corelogic, Inc.</w:t>
        </w:r>
        <w:r>
          <w:rPr>
            <w:rFonts w:ascii="Times New Roman" w:hAnsi="Times New Roman"/>
            <w:color w:val="006fc4"/>
            <w:sz w:val="20"/>
          </w:rPr>
          <w:t>, 899 F.3d 666, 678 (9th Cir. 2018)</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87" w:name="co_pp_sp_999_7_1"/>
      <w:r>
        <w:rPr>
          <w:rFonts w:ascii="Times New Roman" w:hAnsi="Times New Roman"/>
          <w:b/>
          <w:color w:val="000000"/>
          <w:sz w:val="20"/>
        </w:rPr>
        <w:t>*7</w:t>
      </w:r>
      <w:bookmarkEnd w:id="187"/>
      <w:r>
        <w:rPr>
          <w:rFonts w:ascii="Times New Roman" w:hAnsi="Times New Roman"/>
          <w:color w:val="1f1f1f"/>
          <w:sz w:val="20"/>
        </w:rPr>
        <w:t xml:space="preserve"> National Foam wants more discovery, including the carriers’ claim files. It contends that additional discovery may reveal (1) the details of the carriers’ investigation of these claims, which has been ongoing for years; (2) whether the carriers obtained additional evidence of a potential for accidental conduct, as opposed to intentional conduct; (3) whether the carriers obtained evidence demonstrating that the National Foam products were not “pollutants;” (4) the carriers’ explanation for denying a defense; (5) whether the carriers had internal roundtable discussions regarding the existence of a potential for coverage; (6) whether the carriers admitted they had a duty to defend, but proceeded to deny coverage anyway; and (7) whether they established claim reserves indicating that there is a potential for coverage requiring a defense.</w:t>
      </w:r>
      <w:bookmarkStart w:id="188" w:name="co_fnRef_B00192083311327_ID0EHNBI_1"/>
      <w:hyperlink w:anchor="co_footnote_B00192083311327_1">
        <w:r>
          <w:rPr>
            <w:rFonts w:ascii="Times New Roman" w:hAnsi="Times New Roman"/>
            <w:color w:val="006fc4"/>
            <w:sz w:val="16"/>
            <w:vertAlign w:val="superscript"/>
          </w:rPr>
          <w:t>19</w:t>
        </w:r>
      </w:hyperlink>
      <w:bookmarkEnd w:id="188"/>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National Foam has not shown that any of these issues are essential to the applicability of the pollution exception. While it characterizes the above as “extrinsic evidence,” the topics post-date the formation of the contracts and National Foam does not explain why the carriers’ current, subjective understanding of the policies are relevant to contract interpretation. Similarly, it does not explain why the carriers’ investigation of the allegations in the complaints are relevant to the applicability of the exception.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Rather, the relevant inquiry is whether the pollution exception conspicuously, plainly, and clearly apprised National Foam that these alleged injuries would not be covered. That issue is ripe without further discovery.</w:t>
      </w:r>
    </w:p>
    <w:p>
      <w:pPr>
        <w:spacing w:before="0" w:after="0" w:line="275" w:lineRule="atLeast"/>
        <w:jc w:val="both"/>
      </w:pPr>
      <w:r>
        <w:rPr>
          <w:rFonts w:ascii="Times New Roman" w:hAnsi="Times New Roman"/>
          <w:color w:val="1f1f1f"/>
          <w:sz w:val="20"/>
        </w:rPr>
        <w:t> </w:t>
      </w:r>
    </w:p>
    <w:bookmarkStart w:id="189" w:name="co_anchor_I0f51b581feba11ef9eabfecdde2d"/>
    <w:bookmarkStart w:id="190" w:name="co_anchor_I0f51b581feba11ef9eabfecdd2"/>
    <w:p>
      <w:pPr>
        <w:pBdr>
          <w:left w:val="none" w:space="10"/>
        </w:pBdr>
        <w:spacing w:before="400" w:after="0" w:line="275" w:lineRule="atLeast"/>
        <w:ind w:left="200" w:right="0" w:firstLine="0"/>
      </w:pPr>
      <w:r>
        <w:rPr>
          <w:rFonts w:ascii="Times New Roman" w:hAnsi="Times New Roman"/>
          <w:b/>
          <w:color w:val="1f1f1f"/>
          <w:sz w:val="20"/>
        </w:rPr>
        <w:t>3.2 The Pollution Exclusion Applies</w:t>
      </w:r>
    </w:p>
    <w:bookmarkEnd w:id="190"/>
    <w:bookmarkEnd w:id="189"/>
    <w:p>
      <w:pPr>
        <w:spacing w:before="0" w:after="0" w:line="275" w:lineRule="atLeast"/>
        <w:jc w:val="both"/>
      </w:pPr>
      <w:hyperlink w:anchor="co_hn_anchor_F212083311327_1">
        <w:r>
          <w:rPr>
            <w:rFonts w:ascii="Times New Roman" w:hAnsi="Times New Roman"/>
            <w:b/>
            <w:color w:val="252525"/>
            <w:sz w:val="20"/>
            <w:bdr w:val="none" w:space="2"/>
            <w:vertAlign w:val="superscript"/>
          </w:rPr>
          <w:t>[21]</w:t>
        </w:r>
      </w:hyperlink>
      <w:r>
        <w:rPr>
          <w:rFonts w:ascii="Times New Roman" w:hAnsi="Times New Roman"/>
          <w:color w:val="1f1f1f"/>
          <w:sz w:val="20"/>
        </w:rPr>
        <w:t>The issue is whether the pollution exception applies to the Newburgh and Bates cases. It does. Unlike the direct-exposure cases, here, the complaints allege exposure via environmental pollution.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Coverage exclusions are “strictly construed against the insurer and liberally interpreted in favor of the insured.” </w:t>
      </w:r>
      <w:hyperlink r:id="r130">
        <w:r>
          <w:rPr>
            <w:rFonts w:ascii="Times New Roman" w:hAnsi="Times New Roman"/>
            <w:i/>
            <w:color w:val="006fc4"/>
            <w:sz w:val="20"/>
          </w:rPr>
          <w:t>Meraz</w:t>
        </w:r>
        <w:r>
          <w:rPr>
            <w:rFonts w:ascii="Times New Roman" w:hAnsi="Times New Roman"/>
            <w:color w:val="006fc4"/>
            <w:sz w:val="20"/>
          </w:rPr>
          <w:t>, 92 Cal. App. 4th at 324, 111 Cal.Rptr.2d 804</w:t>
        </w:r>
      </w:hyperlink>
      <w:r>
        <w:rPr>
          <w:rFonts w:ascii="Times New Roman" w:hAnsi="Times New Roman"/>
          <w:color w:val="1f1f1f"/>
          <w:sz w:val="20"/>
        </w:rPr>
        <w:t xml:space="preserve">. Exclusions are only enforceable if the language is “clear and unmistakable.” </w:t>
      </w:r>
      <w:hyperlink r:id="r131">
        <w:r>
          <w:rPr>
            <w:rFonts w:ascii="Times New Roman" w:hAnsi="Times New Roman"/>
            <w:i/>
            <w:color w:val="006fc4"/>
            <w:sz w:val="20"/>
          </w:rPr>
          <w:t>State Farm</w:t>
        </w:r>
        <w:r>
          <w:rPr>
            <w:rFonts w:ascii="Times New Roman" w:hAnsi="Times New Roman"/>
            <w:color w:val="006fc4"/>
            <w:sz w:val="20"/>
          </w:rPr>
          <w:t>, 10 Cal. 3d at 201–202, 110 Cal.Rptr. 1, 514 P.2d 953</w:t>
        </w:r>
      </w:hyperlink>
      <w:r>
        <w:rPr>
          <w:rFonts w:ascii="Times New Roman" w:hAnsi="Times New Roman"/>
          <w:color w:val="1f1f1f"/>
          <w:sz w:val="20"/>
        </w:rPr>
        <w:t xml:space="preserve">. The insurer has the burden to establish that the exclusion applies. </w:t>
      </w:r>
      <w:hyperlink r:id="r132">
        <w:r>
          <w:rPr>
            <w:rFonts w:ascii="Times New Roman" w:hAnsi="Times New Roman"/>
            <w:i/>
            <w:color w:val="006fc4"/>
            <w:sz w:val="20"/>
          </w:rPr>
          <w:t>MacKinnon</w:t>
        </w:r>
        <w:r>
          <w:rPr>
            <w:rFonts w:ascii="Times New Roman" w:hAnsi="Times New Roman"/>
            <w:color w:val="006fc4"/>
            <w:sz w:val="20"/>
          </w:rPr>
          <w:t>, 31 Cal. 4th at 648, 3 Cal.Rptr.3d 228, 73 P.3d 1205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Here, the carriers have met their burden. Unlike the Allen case, the Newburgh and Bates plaintiffs allege indirect exposure to PFAS via contaminated water. This type of harm — contact with harmful materials via general environmental exposure — is generally understood as pollution, so the exception provides clear notice of a policy exclusion. </w:t>
      </w:r>
      <w:hyperlink r:id="r133">
        <w:r>
          <w:rPr>
            <w:rFonts w:ascii="Times New Roman" w:hAnsi="Times New Roman"/>
            <w:i/>
            <w:color w:val="006fc4"/>
            <w:sz w:val="20"/>
          </w:rPr>
          <w:t>E. Quincy Sers. Dist. v.</w:t>
        </w:r>
        <w:r>
          <w:rPr>
            <w:rFonts w:ascii="Times New Roman" w:hAnsi="Times New Roman"/>
            <w:color w:val="006fc4"/>
            <w:sz w:val="20"/>
          </w:rPr>
          <w:t xml:space="preserve"> </w:t>
        </w:r>
        <w:r>
          <w:rPr>
            <w:rFonts w:ascii="Times New Roman" w:hAnsi="Times New Roman"/>
            <w:i/>
            <w:color w:val="006fc4"/>
            <w:sz w:val="20"/>
          </w:rPr>
          <w:t>Cont'l Ins. Co.</w:t>
        </w:r>
        <w:r>
          <w:rPr>
            <w:rFonts w:ascii="Times New Roman" w:hAnsi="Times New Roman"/>
            <w:color w:val="006fc4"/>
            <w:sz w:val="20"/>
          </w:rPr>
          <w:t>, 864 F. Supp. 976, 980 (E.D. Cal. 1994)</w:t>
        </w:r>
      </w:hyperlink>
      <w:r>
        <w:rPr>
          <w:rFonts w:ascii="Times New Roman" w:hAnsi="Times New Roman"/>
          <w:color w:val="1f1f1f"/>
          <w:sz w:val="20"/>
        </w:rPr>
        <w:t xml:space="preserve"> (pollution exclusion barred coverage for a homeowner's bodily injury arising from contamination of groundwater); </w:t>
      </w:r>
      <w:r>
        <w:rPr>
          <w:rFonts w:ascii="Times New Roman" w:hAnsi="Times New Roman"/>
          <w:i/>
          <w:color w:val="1f1f1f"/>
          <w:sz w:val="20"/>
        </w:rPr>
        <w:t>see also</w:t>
      </w:r>
      <w:r>
        <w:rPr>
          <w:rFonts w:ascii="Times New Roman" w:hAnsi="Times New Roman"/>
          <w:color w:val="1f1f1f"/>
          <w:sz w:val="20"/>
        </w:rPr>
        <w:t xml:space="preserve"> </w:t>
      </w:r>
      <w:hyperlink r:id="r134">
        <w:r>
          <w:rPr>
            <w:rFonts w:ascii="Times New Roman" w:hAnsi="Times New Roman"/>
            <w:i/>
            <w:color w:val="006fc4"/>
            <w:sz w:val="20"/>
          </w:rPr>
          <w:t>Tonoga, Inc. v. N.H. Ins. Co.</w:t>
        </w:r>
        <w:r>
          <w:rPr>
            <w:rFonts w:ascii="Times New Roman" w:hAnsi="Times New Roman"/>
            <w:color w:val="006fc4"/>
            <w:sz w:val="20"/>
          </w:rPr>
          <w:t>, 201 A.D.3d 1091, 159 N.Y.S.3d 252, 256 (2022)</w:t>
        </w:r>
      </w:hyperlink>
      <w:r>
        <w:rPr>
          <w:rFonts w:ascii="Times New Roman" w:hAnsi="Times New Roman"/>
          <w:color w:val="1f1f1f"/>
          <w:sz w:val="20"/>
        </w:rPr>
        <w:t xml:space="preserve"> (similar pollution exclusion barred claims arising from PFAS in municipal water supply).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National Foam's counterarguments are unpersuasive.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First, it contends without support that PFAS are not commonly thought of as pollutants. To the contrary, the introduction of so-called forever chemicals into drinking water and the environment is known as pollution.</w:t>
      </w:r>
      <w:bookmarkStart w:id="191" w:name="co_fnRef_B00202083311327_ID0ERTBI_1"/>
      <w:hyperlink w:anchor="co_footnote_B00202083311327_1">
        <w:r>
          <w:rPr>
            <w:rFonts w:ascii="Times New Roman" w:hAnsi="Times New Roman"/>
            <w:color w:val="006fc4"/>
            <w:sz w:val="16"/>
            <w:vertAlign w:val="superscript"/>
          </w:rPr>
          <w:t>20</w:t>
        </w:r>
      </w:hyperlink>
      <w:bookmarkEnd w:id="191"/>
      <w:r>
        <w:rPr>
          <w:rFonts w:ascii="Times New Roman" w:hAnsi="Times New Roman"/>
          <w:color w:val="1f1f1f"/>
          <w:sz w:val="20"/>
        </w:rPr>
        <w:t xml:space="preserve"> </w:t>
      </w:r>
      <w:r>
        <w:rPr>
          <w:rFonts w:ascii="Times New Roman" w:hAnsi="Times New Roman"/>
          <w:i/>
          <w:color w:val="1f1f1f"/>
          <w:sz w:val="20"/>
        </w:rPr>
        <w:t>E.g.</w:t>
      </w:r>
      <w:r>
        <w:rPr>
          <w:rFonts w:ascii="Times New Roman" w:hAnsi="Times New Roman"/>
          <w:color w:val="1f1f1f"/>
          <w:sz w:val="20"/>
        </w:rPr>
        <w:t xml:space="preserve"> </w:t>
      </w:r>
      <w:hyperlink r:id="r135">
        <w:r>
          <w:rPr>
            <w:rFonts w:ascii="Times New Roman" w:hAnsi="Times New Roman"/>
            <w:i/>
            <w:color w:val="006fc4"/>
            <w:sz w:val="20"/>
          </w:rPr>
          <w:t>Amer. Cas. Co. of Reading, PA v. Miller</w:t>
        </w:r>
        <w:r>
          <w:rPr>
            <w:rFonts w:ascii="Times New Roman" w:hAnsi="Times New Roman"/>
            <w:color w:val="006fc4"/>
            <w:sz w:val="20"/>
          </w:rPr>
          <w:t>, 159 Cal. App. 4th 501, 515, 71 Cal.Rptr.3d 571 (2008)</w:t>
        </w:r>
      </w:hyperlink>
      <w:r>
        <w:rPr>
          <w:rFonts w:ascii="Times New Roman" w:hAnsi="Times New Roman"/>
          <w:color w:val="1f1f1f"/>
          <w:sz w:val="20"/>
        </w:rPr>
        <w:t xml:space="preserve"> (foreign chemicals introduced into water system are pollutants). Concerning PFAS specifically, their prevalence and harmful effects, if any, has been a topic of investigation for years, so National Foam's argument is unpersuasive.</w:t>
      </w:r>
      <w:bookmarkStart w:id="192" w:name="co_fnRef_B00212083311327_ID0EKUBI_1"/>
      <w:hyperlink w:anchor="co_footnote_B00212083311327_1">
        <w:r>
          <w:rPr>
            <w:rFonts w:ascii="Times New Roman" w:hAnsi="Times New Roman"/>
            <w:color w:val="006fc4"/>
            <w:sz w:val="16"/>
            <w:vertAlign w:val="superscript"/>
          </w:rPr>
          <w:t>21</w:t>
        </w:r>
      </w:hyperlink>
      <w:bookmarkEnd w:id="192"/>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Second, National Foam cites </w:t>
      </w:r>
      <w:hyperlink r:id="r136">
        <w:r>
          <w:rPr>
            <w:rFonts w:ascii="Times New Roman" w:hAnsi="Times New Roman"/>
            <w:i/>
            <w:color w:val="006fc4"/>
            <w:sz w:val="20"/>
          </w:rPr>
          <w:t>MacKinnon</w:t>
        </w:r>
      </w:hyperlink>
      <w:r>
        <w:rPr>
          <w:rFonts w:ascii="Times New Roman" w:hAnsi="Times New Roman"/>
          <w:color w:val="1f1f1f"/>
          <w:sz w:val="20"/>
        </w:rPr>
        <w:t xml:space="preserve"> for the proposition that all harms arising from regular use of a product are not pollution.</w:t>
      </w:r>
      <w:bookmarkStart w:id="193" w:name="co_fnRef_B00222083311327_ID0E4VBI_1"/>
      <w:hyperlink w:anchor="co_footnote_B00222083311327_1">
        <w:r>
          <w:rPr>
            <w:rFonts w:ascii="Times New Roman" w:hAnsi="Times New Roman"/>
            <w:color w:val="006fc4"/>
            <w:sz w:val="16"/>
            <w:vertAlign w:val="superscript"/>
          </w:rPr>
          <w:t>22</w:t>
        </w:r>
      </w:hyperlink>
      <w:bookmarkEnd w:id="193"/>
      <w:r>
        <w:rPr>
          <w:rFonts w:ascii="Times New Roman" w:hAnsi="Times New Roman"/>
          <w:color w:val="1f1f1f"/>
          <w:sz w:val="20"/>
        </w:rPr>
        <w:t xml:space="preserve"> The holding was not so broad. As detailed above, some harms caused by chemicals are pollution while others are not; it depends on the mechanism of harm. Unlike in </w:t>
      </w:r>
      <w:hyperlink r:id="r137">
        <w:r>
          <w:rPr>
            <w:rFonts w:ascii="Times New Roman" w:hAnsi="Times New Roman"/>
            <w:i/>
            <w:color w:val="006fc4"/>
            <w:sz w:val="20"/>
          </w:rPr>
          <w:t>MacKinnon</w:t>
        </w:r>
      </w:hyperlink>
      <w:r>
        <w:rPr>
          <w:rFonts w:ascii="Times New Roman" w:hAnsi="Times New Roman"/>
          <w:color w:val="1f1f1f"/>
          <w:sz w:val="20"/>
        </w:rPr>
        <w:t>, the Newburgh and Bates plaintiffs allege indirect exposure via broadly dispersed, environmental pollution.</w:t>
      </w:r>
      <w:bookmarkStart w:id="194" w:name="co_fnRef_B00232083311327_ID0EWWBI_1"/>
      <w:hyperlink w:anchor="co_footnote_B00232083311327_1">
        <w:r>
          <w:rPr>
            <w:rFonts w:ascii="Times New Roman" w:hAnsi="Times New Roman"/>
            <w:color w:val="006fc4"/>
            <w:sz w:val="16"/>
            <w:vertAlign w:val="superscript"/>
          </w:rPr>
          <w:t>23</w:t>
        </w:r>
      </w:hyperlink>
      <w:bookmarkEnd w:id="194"/>
      <w:r>
        <w:rPr>
          <w:rFonts w:ascii="Times New Roman" w:hAnsi="Times New Roman"/>
          <w:color w:val="1f1f1f"/>
          <w:sz w:val="20"/>
        </w:rPr>
        <w:t xml:space="preserve"> That harm, while ultimately traceable to firefighter's use of National Foam's products, is still fairly characterized as pollution.</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95" w:name="co_pp_sp_999_8_1"/>
      <w:r>
        <w:rPr>
          <w:rFonts w:ascii="Times New Roman" w:hAnsi="Times New Roman"/>
          <w:b/>
          <w:color w:val="000000"/>
          <w:sz w:val="20"/>
        </w:rPr>
        <w:t>*8</w:t>
      </w:r>
      <w:bookmarkEnd w:id="195"/>
      <w:r>
        <w:rPr>
          <w:rFonts w:ascii="Times New Roman" w:hAnsi="Times New Roman"/>
          <w:color w:val="1f1f1f"/>
          <w:sz w:val="20"/>
        </w:rPr>
        <w:t xml:space="preserve"> Third, </w:t>
      </w:r>
      <w:hyperlink r:id="r138">
        <w:r>
          <w:rPr>
            <w:rFonts w:ascii="Times New Roman" w:hAnsi="Times New Roman"/>
            <w:i/>
            <w:color w:val="006fc4"/>
            <w:sz w:val="20"/>
          </w:rPr>
          <w:t>MacKinnon</w:t>
        </w:r>
      </w:hyperlink>
      <w:r>
        <w:rPr>
          <w:rFonts w:ascii="Times New Roman" w:hAnsi="Times New Roman"/>
          <w:color w:val="1f1f1f"/>
          <w:sz w:val="20"/>
        </w:rPr>
        <w:t xml:space="preserve"> does not foreclose “dispersal” of a pollutant in these cases.</w:t>
      </w:r>
      <w:bookmarkStart w:id="196" w:name="co_fnRef_B00242083311327_ID0E1YBI_1"/>
      <w:hyperlink w:anchor="co_footnote_B00242083311327_1">
        <w:r>
          <w:rPr>
            <w:rFonts w:ascii="Times New Roman" w:hAnsi="Times New Roman"/>
            <w:color w:val="006fc4"/>
            <w:sz w:val="16"/>
            <w:vertAlign w:val="superscript"/>
          </w:rPr>
          <w:t>24</w:t>
        </w:r>
      </w:hyperlink>
      <w:bookmarkEnd w:id="196"/>
      <w:r>
        <w:rPr>
          <w:rFonts w:ascii="Times New Roman" w:hAnsi="Times New Roman"/>
          <w:color w:val="1f1f1f"/>
          <w:sz w:val="20"/>
        </w:rPr>
        <w:t xml:space="preserve"> The </w:t>
      </w:r>
      <w:hyperlink r:id="r139">
        <w:r>
          <w:rPr>
            <w:rFonts w:ascii="Times New Roman" w:hAnsi="Times New Roman"/>
            <w:i/>
            <w:color w:val="006fc4"/>
            <w:sz w:val="20"/>
          </w:rPr>
          <w:t>MacKinnon</w:t>
        </w:r>
      </w:hyperlink>
      <w:r>
        <w:rPr>
          <w:rFonts w:ascii="Times New Roman" w:hAnsi="Times New Roman"/>
          <w:color w:val="1f1f1f"/>
          <w:sz w:val="20"/>
        </w:rPr>
        <w:t xml:space="preserve"> court held that dispersal of pesticide around an apartment building was not “dispersal” as commonly understood in the context of a pollution exception. </w:t>
      </w:r>
      <w:hyperlink r:id="r140">
        <w:r>
          <w:rPr>
            <w:rFonts w:ascii="Times New Roman" w:hAnsi="Times New Roman"/>
            <w:color w:val="006fc4"/>
            <w:sz w:val="20"/>
          </w:rPr>
          <w:t>31 Cal. 4th at 651, 3 Cal.Rptr.3d 228, 73 P.3d 1205</w:t>
        </w:r>
      </w:hyperlink>
      <w:r>
        <w:rPr>
          <w:rFonts w:ascii="Times New Roman" w:hAnsi="Times New Roman"/>
          <w:color w:val="1f1f1f"/>
          <w:sz w:val="20"/>
        </w:rPr>
        <w:t>. Here, the allegations are fundamentally different. The plaintiffs allege widespread contamination of water systems and the water shed with chemicals, which is fairly understood as dispersal of a pollutant.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22083311327_1">
        <w:r>
          <w:rPr>
            <w:rFonts w:ascii="Times New Roman" w:hAnsi="Times New Roman"/>
            <w:b/>
            <w:color w:val="252525"/>
            <w:sz w:val="20"/>
            <w:bdr w:val="none" w:space="2"/>
            <w:vertAlign w:val="superscript"/>
          </w:rPr>
          <w:t>[22]</w:t>
        </w:r>
      </w:hyperlink>
      <w:r>
        <w:rPr>
          <w:rFonts w:ascii="Times New Roman" w:hAnsi="Times New Roman"/>
          <w:color w:val="1f1f1f"/>
          <w:sz w:val="20"/>
        </w:rPr>
        <w:t>Fourth, contrary to National Foam's bare assertion, the pollution exception is not ambiguous. It states that the policy does not apply to injuries that “would not have occurred in whole or part but for the actual, alleged or threatened discharge, dispersal, seepage, migration, release or escape of ‘pollutants’ at any time.”</w:t>
      </w:r>
      <w:bookmarkStart w:id="197" w:name="co_fnRef_B00252083311327_ID0EM2BI_1"/>
      <w:hyperlink w:anchor="co_footnote_B00252083311327_1">
        <w:r>
          <w:rPr>
            <w:rFonts w:ascii="Times New Roman" w:hAnsi="Times New Roman"/>
            <w:color w:val="006fc4"/>
            <w:sz w:val="16"/>
            <w:vertAlign w:val="superscript"/>
          </w:rPr>
          <w:t>25</w:t>
        </w:r>
      </w:hyperlink>
      <w:bookmarkEnd w:id="197"/>
      <w:r>
        <w:rPr>
          <w:rFonts w:ascii="Times New Roman" w:hAnsi="Times New Roman"/>
          <w:color w:val="1f1f1f"/>
          <w:sz w:val="20"/>
        </w:rPr>
        <w:t xml:space="preserve"> Pollutants means “any solid, liquid, gaseous or thermal irritant or contaminant, including smoke, vapor, soot, fumes, acids, alkalis, chemicals, and waste.”</w:t>
      </w:r>
      <w:bookmarkStart w:id="198" w:name="co_fnRef_B00262083311327_ID0E42BI_1"/>
      <w:hyperlink w:anchor="co_footnote_B00262083311327_1">
        <w:r>
          <w:rPr>
            <w:rFonts w:ascii="Times New Roman" w:hAnsi="Times New Roman"/>
            <w:color w:val="006fc4"/>
            <w:sz w:val="16"/>
            <w:vertAlign w:val="superscript"/>
          </w:rPr>
          <w:t>26</w:t>
        </w:r>
      </w:hyperlink>
      <w:bookmarkEnd w:id="198"/>
      <w:r>
        <w:rPr>
          <w:rFonts w:ascii="Times New Roman" w:hAnsi="Times New Roman"/>
          <w:color w:val="1f1f1f"/>
          <w:sz w:val="20"/>
        </w:rPr>
        <w:t xml:space="preserve"> The language is sufficiently clear to serve its notice function for this type of alleged harm.</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Fifth, National Foam asserts that no California court has considered these exact facts, and therefore a duty to defend must exist because any doubts as to whether the facts establish a duty to defend must be resolved for the insured.</w:t>
      </w:r>
      <w:bookmarkStart w:id="199" w:name="co_fnRef_B00272083311327_ID0EL4BI_1"/>
      <w:hyperlink w:anchor="co_footnote_B00272083311327_1">
        <w:r>
          <w:rPr>
            <w:rFonts w:ascii="Times New Roman" w:hAnsi="Times New Roman"/>
            <w:color w:val="006fc4"/>
            <w:sz w:val="16"/>
            <w:vertAlign w:val="superscript"/>
          </w:rPr>
          <w:t>27</w:t>
        </w:r>
      </w:hyperlink>
      <w:bookmarkEnd w:id="199"/>
      <w:r>
        <w:rPr>
          <w:rFonts w:ascii="Times New Roman" w:hAnsi="Times New Roman"/>
          <w:color w:val="1f1f1f"/>
          <w:sz w:val="20"/>
        </w:rPr>
        <w:t xml:space="preserve"> A presumption for the insured is just that: a presumption. Here, there are no doubts as to whether the facts establish a duty to defend for the reasons set forth above.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Therefore, the carriers do not have a duty to defend the Newburgh or Bates cases.</w:t>
      </w:r>
    </w:p>
    <w:p>
      <w:pPr>
        <w:spacing w:before="0" w:after="0" w:line="275" w:lineRule="atLeast"/>
        <w:jc w:val="both"/>
      </w:pPr>
      <w:r>
        <w:rPr>
          <w:rFonts w:ascii="Times New Roman" w:hAnsi="Times New Roman"/>
          <w:color w:val="1f1f1f"/>
          <w:sz w:val="20"/>
        </w:rPr>
        <w:t> </w:t>
      </w:r>
    </w:p>
    <w:bookmarkStart w:id="200" w:name="co_anchor_I0f57f711feba11ef9eabfecdde2d"/>
    <w:p>
      <w:pPr>
        <w:spacing w:before="400" w:after="0" w:line="275" w:lineRule="atLeast"/>
        <w:jc w:val="center"/>
      </w:pPr>
      <w:r>
        <w:rPr>
          <w:rFonts w:ascii="Times New Roman" w:hAnsi="Times New Roman"/>
          <w:b/>
          <w:color w:val="1f1f1f"/>
          <w:sz w:val="20"/>
        </w:rPr>
        <w:t>CONCLUSION</w:t>
      </w:r>
    </w:p>
    <w:bookmarkEnd w:id="200"/>
    <w:p>
      <w:pPr>
        <w:spacing w:before="200" w:after="0" w:line="275" w:lineRule="atLeast"/>
        <w:jc w:val="both"/>
      </w:pPr>
      <w:r>
        <w:rPr>
          <w:rFonts w:ascii="Times New Roman" w:hAnsi="Times New Roman"/>
          <w:color w:val="1f1f1f"/>
          <w:sz w:val="20"/>
        </w:rPr>
        <w:t>In sum, National Foam has not carried its burden for summary judgment on all direct-exposure cases. That said, National Foam is entitled to summary judgment on the Allen case, which the carriers have a duty to defend. Conversely, there is no duty to defend the Newburgh and Bates cases due to the pollution exception.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Concerning the remaining cases, these rulings should narrow the issues. Within fourteen days of this order, the parties will meet and confer and then submit a proposal for additional dispositive motions, if any. The submission will address (1) whether an index is appropriate to identify the nature of each case and what arguments, if any, apply and are unresolved and (2) how the parties will efficiently select cases for adjudication moving forward.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b/>
          <w:color w:val="1f1f1f"/>
          <w:sz w:val="20"/>
        </w:rPr>
        <w:t>IT IS SO ORDERED.</w:t>
      </w:r>
    </w:p>
    <w:p>
      <w:pPr>
        <w:spacing w:before="0" w:after="0" w:line="275" w:lineRule="atLeast"/>
        <w:jc w:val="both"/>
      </w:pPr>
      <w:r>
        <w:rPr>
          <w:rFonts w:ascii="Times New Roman" w:hAnsi="Times New Roman"/>
          <w:color w:val="1f1f1f"/>
          <w:sz w:val="20"/>
        </w:rPr>
        <w:t> </w:t>
      </w:r>
    </w:p>
    <w:bookmarkStart w:id="201" w:name="co_allCitations_1"/>
    <w:p>
      <w:pPr>
        <w:keepNext/>
        <w:keepLines/>
        <w:spacing w:before="200" w:after="0" w:line="275" w:lineRule="atLeast"/>
        <w:jc w:val="both"/>
      </w:pPr>
      <w:r>
        <w:rPr>
          <w:rFonts w:ascii="Times New Roman" w:hAnsi="Times New Roman"/>
          <w:b/>
          <w:color w:val="212121"/>
          <w:sz w:val="20"/>
        </w:rPr>
        <w:t>All Citations</w:t>
      </w:r>
    </w:p>
    <w:bookmarkEnd w:id="201"/>
    <w:p>
      <w:pPr>
        <w:spacing w:before="200" w:after="0" w:line="275" w:lineRule="atLeast"/>
        <w:jc w:val="both"/>
      </w:pPr>
      <w:r>
        <w:rPr>
          <w:rFonts w:ascii="Times New Roman" w:hAnsi="Times New Roman"/>
          <w:color w:val="1f1f1f"/>
          <w:sz w:val="20"/>
        </w:rPr>
        <w:t>--- F.Supp.3d ----, 2025 WL 699361</w:t>
      </w:r>
    </w:p>
    <w:p>
      <w:pPr>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cols w:num="2" w:space="240"/>
        </w:sectPr>
      </w:pPr>
    </w:p>
    <w:p>
      <w:pPr>
        <w:spacing w:before="0" w:after="0" w:line="240" w:lineRule="auto"/>
        <w:rPr>
          <w:sz w:val="60"/>
        </w:rPr>
      </w:pPr>
    </w:p>
    <w:tbl>
      <w:tblPr>
        <w:tblLayout w:type="fixed"/>
      </w:tblPr>
      <w:tblGrid>
        <w:gridCol w:w="600"/>
        <w:gridCol w:w="9450"/>
      </w:tblGrid>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000000"/>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000000"/>
                <w:sz w:val="22"/>
              </w:rPr>
            </w:pPr>
          </w:p>
        </w:tc>
      </w:tr>
      <w:tr>
        <w:tblPrEx/>
        <w:trPr/>
        <w:tc>
          <w:tcPr>
            <w:vAlign w:val="top"/>
          </w:tcPr>
          <w:p>
            <w:pPr>
              <w:spacing w:before="0" w:after="0" w:line="275" w:lineRule="atLeast"/>
            </w:pPr>
            <w:bookmarkStart w:id="202" w:name="co_footnote_B00012083311327_1"/>
            <w:hyperlink w:anchor="co_fnRef_B00012083311327_ID0EGKBG_1">
              <w:r>
                <w:rPr>
                  <w:rFonts w:ascii="Times New Roman" w:hAnsi="Times New Roman"/>
                  <w:color w:val="006fc4"/>
                  <w:sz w:val="20"/>
                  <w:vertAlign w:val="superscript"/>
                </w:rPr>
                <w:t>1</w:t>
              </w:r>
            </w:hyperlink>
            <w:bookmarkEnd w:id="202"/>
          </w:p>
        </w:tc>
        <w:tc>
          <w:tcPr>
            <w:vAlign w:val="top"/>
          </w:tcPr>
          <w:p>
            <w:pPr>
              <w:pBdr>
                <w:bottom w:val="none" w:space="8"/>
              </w:pBdr>
              <w:spacing w:before="0" w:after="0" w:line="275" w:lineRule="atLeast"/>
              <w:jc w:val="both"/>
            </w:pPr>
            <w:r>
              <w:rPr>
                <w:rFonts w:ascii="Times New Roman" w:hAnsi="Times New Roman"/>
                <w:color w:val="000000"/>
                <w:sz w:val="20"/>
              </w:rPr>
              <w:t>National Foam moved for summary judgment against XL and Commerce and Industry. Zurich joined the cross-motion. ECF No. 113. Citations refer to material in the Electronic Case File (“ECF”); pinpoint citations are to the ECF-generated page numbers at the top of documents.</w:t>
            </w:r>
          </w:p>
        </w:tc>
      </w:tr>
      <w:tr>
        <w:tblPrEx/>
        <w:trPr/>
        <w:tc>
          <w:tcPr>
            <w:vAlign w:val="top"/>
          </w:tcPr>
          <w:p>
            <w:pPr>
              <w:spacing w:before="0" w:after="0" w:line="275" w:lineRule="atLeast"/>
            </w:pPr>
            <w:bookmarkStart w:id="203" w:name="co_footnote_B00022083311327_1"/>
            <w:hyperlink w:anchor="co_fnRef_B00022083311327_ID0E3MBG_1">
              <w:r>
                <w:rPr>
                  <w:rFonts w:ascii="Times New Roman" w:hAnsi="Times New Roman"/>
                  <w:color w:val="006fc4"/>
                  <w:sz w:val="20"/>
                  <w:vertAlign w:val="superscript"/>
                </w:rPr>
                <w:t>2</w:t>
              </w:r>
            </w:hyperlink>
            <w:bookmarkEnd w:id="203"/>
          </w:p>
        </w:tc>
        <w:tc>
          <w:tcPr>
            <w:vAlign w:val="top"/>
          </w:tcPr>
          <w:p>
            <w:pPr>
              <w:pBdr>
                <w:bottom w:val="none" w:space="8"/>
              </w:pBdr>
              <w:spacing w:before="0" w:after="0" w:line="275" w:lineRule="atLeast"/>
              <w:jc w:val="both"/>
            </w:pPr>
            <w:r>
              <w:rPr>
                <w:rFonts w:ascii="Times New Roman" w:hAnsi="Times New Roman"/>
                <w:color w:val="000000"/>
                <w:sz w:val="20"/>
              </w:rPr>
              <w:t>Policies – ECF No. 100 at 234, 295; ECF No. 101 at 38, 113.</w:t>
            </w:r>
          </w:p>
        </w:tc>
      </w:tr>
      <w:tr>
        <w:tblPrEx/>
        <w:trPr/>
        <w:tc>
          <w:tcPr>
            <w:vAlign w:val="top"/>
          </w:tcPr>
          <w:p>
            <w:pPr>
              <w:spacing w:before="0" w:after="0" w:line="275" w:lineRule="atLeast"/>
            </w:pPr>
            <w:bookmarkStart w:id="204" w:name="co_footnote_B00032083311327_1"/>
            <w:hyperlink w:anchor="co_fnRef_B00032083311327_ID0ELNBG_1">
              <w:r>
                <w:rPr>
                  <w:rFonts w:ascii="Times New Roman" w:hAnsi="Times New Roman"/>
                  <w:color w:val="006fc4"/>
                  <w:sz w:val="20"/>
                  <w:vertAlign w:val="superscript"/>
                </w:rPr>
                <w:t>3</w:t>
              </w:r>
            </w:hyperlink>
            <w:bookmarkEnd w:id="204"/>
          </w:p>
        </w:tc>
        <w:tc>
          <w:tcPr>
            <w:vAlign w:val="top"/>
          </w:tcPr>
          <w:p>
            <w:pPr>
              <w:pBdr>
                <w:bottom w:val="none" w:space="8"/>
              </w:pBdr>
              <w:spacing w:before="0" w:after="0" w:line="275" w:lineRule="atLeast"/>
              <w:jc w:val="both"/>
            </w:pPr>
            <w:r>
              <w:rPr>
                <w:rFonts w:ascii="Times New Roman" w:hAnsi="Times New Roman"/>
                <w:color w:val="000000"/>
                <w:sz w:val="20"/>
              </w:rPr>
              <w:t>Policies – ECF No. 100 at 220, 281; ECF No. 101 at 24, 99.</w:t>
            </w:r>
          </w:p>
        </w:tc>
      </w:tr>
      <w:tr>
        <w:tblPrEx/>
        <w:trPr/>
        <w:tc>
          <w:tcPr>
            <w:vAlign w:val="top"/>
          </w:tcPr>
          <w:p>
            <w:pPr>
              <w:spacing w:before="0" w:after="0" w:line="275" w:lineRule="atLeast"/>
            </w:pPr>
            <w:bookmarkStart w:id="205" w:name="co_footnote_B00042083311327_1"/>
            <w:hyperlink w:anchor="co_fnRef_B00042083311327_ID0E1NBG_1">
              <w:r>
                <w:rPr>
                  <w:rFonts w:ascii="Times New Roman" w:hAnsi="Times New Roman"/>
                  <w:color w:val="006fc4"/>
                  <w:sz w:val="20"/>
                  <w:vertAlign w:val="superscript"/>
                </w:rPr>
                <w:t>4</w:t>
              </w:r>
            </w:hyperlink>
            <w:bookmarkEnd w:id="205"/>
          </w:p>
        </w:tc>
        <w:tc>
          <w:tcPr>
            <w:vAlign w:val="top"/>
          </w:tcPr>
          <w:p>
            <w:pPr>
              <w:pBdr>
                <w:bottom w:val="none" w:space="8"/>
              </w:pBdr>
              <w:spacing w:before="0" w:after="0" w:line="275" w:lineRule="atLeast"/>
              <w:jc w:val="both"/>
            </w:pPr>
            <w:r>
              <w:rPr>
                <w:rFonts w:ascii="Times New Roman" w:hAnsi="Times New Roman"/>
                <w:color w:val="000000"/>
                <w:sz w:val="20"/>
              </w:rPr>
              <w:t>Policies – ECF No. 100 at 220, 281; ECF No. 101 at 24, 99.</w:t>
            </w:r>
          </w:p>
        </w:tc>
      </w:tr>
      <w:tr>
        <w:tblPrEx/>
        <w:trPr/>
        <w:tc>
          <w:tcPr>
            <w:vAlign w:val="top"/>
          </w:tcPr>
          <w:p>
            <w:pPr>
              <w:spacing w:before="0" w:after="0" w:line="275" w:lineRule="atLeast"/>
            </w:pPr>
            <w:bookmarkStart w:id="206" w:name="co_footnote_B00052083311327_1"/>
            <w:hyperlink w:anchor="co_fnRef_B00052083311327_ID0E6PBG_1">
              <w:r>
                <w:rPr>
                  <w:rFonts w:ascii="Times New Roman" w:hAnsi="Times New Roman"/>
                  <w:color w:val="006fc4"/>
                  <w:sz w:val="20"/>
                  <w:vertAlign w:val="superscript"/>
                </w:rPr>
                <w:t>5</w:t>
              </w:r>
            </w:hyperlink>
            <w:bookmarkEnd w:id="206"/>
          </w:p>
        </w:tc>
        <w:tc>
          <w:tcPr>
            <w:vAlign w:val="top"/>
          </w:tcPr>
          <w:p>
            <w:pPr>
              <w:pBdr>
                <w:bottom w:val="none" w:space="8"/>
              </w:pBdr>
              <w:spacing w:before="0" w:after="0" w:line="275" w:lineRule="atLeast"/>
              <w:jc w:val="both"/>
            </w:pPr>
            <w:r>
              <w:rPr>
                <w:rFonts w:ascii="Times New Roman" w:hAnsi="Times New Roman"/>
                <w:color w:val="000000"/>
                <w:sz w:val="20"/>
              </w:rPr>
              <w:t>Policies – ECF No. 100 at 236, 307; ECF No. 101 at 51, 125.</w:t>
            </w:r>
          </w:p>
        </w:tc>
      </w:tr>
      <w:tr>
        <w:tblPrEx/>
        <w:trPr/>
        <w:tc>
          <w:tcPr>
            <w:vAlign w:val="top"/>
          </w:tcPr>
          <w:p>
            <w:pPr>
              <w:spacing w:before="0" w:after="0" w:line="275" w:lineRule="atLeast"/>
            </w:pPr>
            <w:bookmarkStart w:id="207" w:name="co_footnote_B00062083311327_1"/>
            <w:hyperlink w:anchor="co_fnRef_B00062083311327_ID0EQQBG_1">
              <w:r>
                <w:rPr>
                  <w:rFonts w:ascii="Times New Roman" w:hAnsi="Times New Roman"/>
                  <w:color w:val="006fc4"/>
                  <w:sz w:val="20"/>
                  <w:vertAlign w:val="superscript"/>
                </w:rPr>
                <w:t>6</w:t>
              </w:r>
            </w:hyperlink>
            <w:bookmarkEnd w:id="207"/>
          </w:p>
        </w:tc>
        <w:tc>
          <w:tcPr>
            <w:vAlign w:val="top"/>
          </w:tcPr>
          <w:p>
            <w:pPr>
              <w:pBdr>
                <w:bottom w:val="none" w:space="8"/>
              </w:pBdr>
              <w:spacing w:before="0" w:after="0" w:line="275" w:lineRule="atLeast"/>
              <w:jc w:val="both"/>
            </w:pPr>
            <w:r>
              <w:rPr>
                <w:rFonts w:ascii="Times New Roman" w:hAnsi="Times New Roman"/>
                <w:color w:val="000000"/>
                <w:sz w:val="20"/>
              </w:rPr>
              <w:t>Policies – ECF No. 100 at 234, 295; ECF No. 101 at 38, 113.</w:t>
            </w:r>
          </w:p>
        </w:tc>
      </w:tr>
      <w:tr>
        <w:tblPrEx/>
        <w:trPr/>
        <w:tc>
          <w:tcPr>
            <w:vAlign w:val="top"/>
          </w:tcPr>
          <w:p>
            <w:pPr>
              <w:spacing w:before="0" w:after="0" w:line="275" w:lineRule="atLeast"/>
            </w:pPr>
            <w:bookmarkStart w:id="208" w:name="co_footnote_B00072083311327_1"/>
            <w:hyperlink w:anchor="co_fnRef_B00072083311327_ID0EV4BG_1">
              <w:r>
                <w:rPr>
                  <w:rFonts w:ascii="Times New Roman" w:hAnsi="Times New Roman"/>
                  <w:color w:val="006fc4"/>
                  <w:sz w:val="20"/>
                  <w:vertAlign w:val="superscript"/>
                </w:rPr>
                <w:t>7</w:t>
              </w:r>
            </w:hyperlink>
            <w:bookmarkEnd w:id="208"/>
          </w:p>
        </w:tc>
        <w:tc>
          <w:tcPr>
            <w:vAlign w:val="top"/>
          </w:tcPr>
          <w:p>
            <w:pPr>
              <w:pBdr>
                <w:bottom w:val="none" w:space="8"/>
              </w:pBdr>
              <w:spacing w:before="0" w:after="0" w:line="275" w:lineRule="atLeast"/>
              <w:jc w:val="both"/>
            </w:pPr>
            <w:r>
              <w:rPr>
                <w:rFonts w:ascii="Times New Roman" w:hAnsi="Times New Roman"/>
                <w:color w:val="000000"/>
                <w:sz w:val="20"/>
              </w:rPr>
              <w:t>There is a potential choice of law issue between California, where this diversity action was filed, and North Carolina, where the policies were issued. National Foam contends that California law applies. ECF No. 97 at 9. The carriers contend that they win under the law of either state and attempt to reserve their rights to argue the choice of law issue. ECF No. 115 at 16 n. 4. The order applies California law.</w:t>
            </w:r>
          </w:p>
        </w:tc>
      </w:tr>
      <w:tr>
        <w:tblPrEx/>
        <w:trPr/>
        <w:tc>
          <w:tcPr>
            <w:vAlign w:val="top"/>
          </w:tcPr>
          <w:p>
            <w:pPr>
              <w:spacing w:before="0" w:after="0" w:line="275" w:lineRule="atLeast"/>
            </w:pPr>
            <w:bookmarkStart w:id="209" w:name="co_footnote_B00082083311327_1"/>
            <w:hyperlink w:anchor="co_fnRef_B00082083311327_ID0EPIAI_1">
              <w:r>
                <w:rPr>
                  <w:rFonts w:ascii="Times New Roman" w:hAnsi="Times New Roman"/>
                  <w:color w:val="006fc4"/>
                  <w:sz w:val="20"/>
                  <w:vertAlign w:val="superscript"/>
                </w:rPr>
                <w:t>8</w:t>
              </w:r>
            </w:hyperlink>
            <w:bookmarkEnd w:id="209"/>
          </w:p>
        </w:tc>
        <w:tc>
          <w:tcPr>
            <w:vAlign w:val="top"/>
          </w:tcPr>
          <w:p>
            <w:pPr>
              <w:pBdr>
                <w:bottom w:val="none" w:space="8"/>
              </w:pBdr>
              <w:spacing w:before="0" w:after="0" w:line="275" w:lineRule="atLeast"/>
              <w:jc w:val="both"/>
            </w:pPr>
            <w:r>
              <w:rPr>
                <w:rFonts w:ascii="Times New Roman" w:hAnsi="Times New Roman"/>
                <w:color w:val="000000"/>
                <w:sz w:val="20"/>
              </w:rPr>
              <w:t xml:space="preserve">Order and Op., </w:t>
            </w:r>
            <w:hyperlink r:id="r141">
              <w:r>
                <w:rPr>
                  <w:rFonts w:ascii="Times New Roman" w:hAnsi="Times New Roman"/>
                  <w:i/>
                  <w:color w:val="006fc4"/>
                  <w:sz w:val="20"/>
                </w:rPr>
                <w:t>Aqueous Film-Forming Foam Prods. Liab. Litig. MDL</w:t>
              </w:r>
              <w:r>
                <w:rPr>
                  <w:rFonts w:ascii="Times New Roman" w:hAnsi="Times New Roman"/>
                  <w:color w:val="006fc4"/>
                  <w:sz w:val="20"/>
                </w:rPr>
                <w:t>, Case No. 2:18-mn-2873-RMG (D.S.C., March 27, 2023) – ECF No. 2935</w:t>
              </w:r>
            </w:hyperlink>
            <w:r>
              <w:rPr>
                <w:rFonts w:ascii="Times New Roman" w:hAnsi="Times New Roman"/>
                <w:color w:val="000000"/>
                <w:sz w:val="20"/>
              </w:rPr>
              <w:t>.</w:t>
            </w:r>
          </w:p>
        </w:tc>
      </w:tr>
      <w:tr>
        <w:tblPrEx/>
        <w:trPr/>
        <w:tc>
          <w:tcPr>
            <w:vAlign w:val="top"/>
          </w:tcPr>
          <w:p>
            <w:pPr>
              <w:spacing w:before="0" w:after="0" w:line="275" w:lineRule="atLeast"/>
            </w:pPr>
            <w:bookmarkStart w:id="210" w:name="co_footnote_B00092083311327_1"/>
            <w:hyperlink w:anchor="co_fnRef_B00092083311327_ID0E3IAI_1">
              <w:r>
                <w:rPr>
                  <w:rFonts w:ascii="Times New Roman" w:hAnsi="Times New Roman"/>
                  <w:color w:val="006fc4"/>
                  <w:sz w:val="20"/>
                  <w:vertAlign w:val="superscript"/>
                </w:rPr>
                <w:t>9</w:t>
              </w:r>
            </w:hyperlink>
            <w:bookmarkEnd w:id="210"/>
          </w:p>
        </w:tc>
        <w:tc>
          <w:tcPr>
            <w:vAlign w:val="top"/>
          </w:tcPr>
          <w:p>
            <w:pPr>
              <w:pBdr>
                <w:bottom w:val="none" w:space="8"/>
              </w:pBdr>
              <w:spacing w:before="0" w:after="0" w:line="275" w:lineRule="atLeast"/>
              <w:jc w:val="both"/>
            </w:pPr>
            <w:r>
              <w:rPr>
                <w:rFonts w:ascii="Times New Roman" w:hAnsi="Times New Roman"/>
                <w:color w:val="000000"/>
                <w:sz w:val="20"/>
              </w:rPr>
              <w:t>Opp'n – ECF No. 115 at 10 (citing ECF No. 102).</w:t>
            </w:r>
          </w:p>
        </w:tc>
      </w:tr>
      <w:tr>
        <w:tblPrEx/>
        <w:trPr/>
        <w:tc>
          <w:tcPr>
            <w:vAlign w:val="top"/>
          </w:tcPr>
          <w:p>
            <w:pPr>
              <w:spacing w:before="0" w:after="0" w:line="275" w:lineRule="atLeast"/>
            </w:pPr>
            <w:bookmarkStart w:id="211" w:name="co_footnote_B00102083311327_1"/>
            <w:hyperlink w:anchor="co_fnRef_B00102083311327_ID0EROAI_1">
              <w:r>
                <w:rPr>
                  <w:rFonts w:ascii="Times New Roman" w:hAnsi="Times New Roman"/>
                  <w:color w:val="006fc4"/>
                  <w:sz w:val="20"/>
                  <w:vertAlign w:val="superscript"/>
                </w:rPr>
                <w:t>10</w:t>
              </w:r>
            </w:hyperlink>
            <w:bookmarkEnd w:id="211"/>
          </w:p>
        </w:tc>
        <w:tc>
          <w:tcPr>
            <w:vAlign w:val="top"/>
          </w:tcPr>
          <w:p>
            <w:pPr>
              <w:pBdr>
                <w:bottom w:val="none" w:space="8"/>
              </w:pBdr>
              <w:spacing w:before="0" w:after="0" w:line="275" w:lineRule="atLeast"/>
              <w:jc w:val="both"/>
            </w:pPr>
            <w:r>
              <w:rPr>
                <w:rFonts w:ascii="Times New Roman" w:hAnsi="Times New Roman"/>
                <w:color w:val="000000"/>
                <w:sz w:val="20"/>
              </w:rPr>
              <w:t xml:space="preserve">Pl.’s Reply – ECF No. 116 at 18 (citing </w:t>
            </w:r>
            <w:hyperlink r:id="r142">
              <w:r>
                <w:rPr>
                  <w:rFonts w:ascii="Times New Roman" w:hAnsi="Times New Roman"/>
                  <w:i/>
                  <w:color w:val="006fc4"/>
                  <w:sz w:val="20"/>
                </w:rPr>
                <w:t>Sempra Energy v. Assoc. Elec. &amp; Cas. Ins. Servs. Ltd.</w:t>
              </w:r>
              <w:r>
                <w:rPr>
                  <w:rFonts w:ascii="Times New Roman" w:hAnsi="Times New Roman"/>
                  <w:color w:val="006fc4"/>
                  <w:sz w:val="20"/>
                </w:rPr>
                <w:t>, 473 F. Supp. 3d 1052, 1061 (C.D. Cal. 2020)</w:t>
              </w:r>
            </w:hyperlink>
            <w:r>
              <w:rPr>
                <w:rFonts w:ascii="Times New Roman" w:hAnsi="Times New Roman"/>
                <w:color w:val="000000"/>
                <w:sz w:val="20"/>
              </w:rPr>
              <w:t xml:space="preserve">). </w:t>
            </w:r>
            <w:hyperlink r:id="r143">
              <w:r>
                <w:rPr>
                  <w:rFonts w:ascii="Times New Roman" w:hAnsi="Times New Roman"/>
                  <w:i/>
                  <w:color w:val="006fc4"/>
                  <w:sz w:val="20"/>
                </w:rPr>
                <w:t>Sempra</w:t>
              </w:r>
            </w:hyperlink>
            <w:r>
              <w:rPr>
                <w:rFonts w:ascii="Times New Roman" w:hAnsi="Times New Roman"/>
                <w:color w:val="000000"/>
                <w:sz w:val="20"/>
              </w:rPr>
              <w:t xml:space="preserve"> is not binding authority and the reasoning is unpersuasive because it incorrectly states that, in </w:t>
            </w:r>
            <w:hyperlink r:id="r144">
              <w:r>
                <w:rPr>
                  <w:rFonts w:ascii="Times New Roman" w:hAnsi="Times New Roman"/>
                  <w:i/>
                  <w:color w:val="006fc4"/>
                  <w:sz w:val="20"/>
                </w:rPr>
                <w:t>Buss</w:t>
              </w:r>
            </w:hyperlink>
            <w:r>
              <w:rPr>
                <w:rFonts w:ascii="Times New Roman" w:hAnsi="Times New Roman"/>
                <w:color w:val="000000"/>
                <w:sz w:val="20"/>
              </w:rPr>
              <w:t>, the California Supreme Court considered whether an insurer has a duty to defend uncovered actions.</w:t>
            </w:r>
          </w:p>
        </w:tc>
      </w:tr>
      <w:tr>
        <w:tblPrEx/>
        <w:trPr/>
        <w:tc>
          <w:tcPr>
            <w:vAlign w:val="top"/>
          </w:tcPr>
          <w:p>
            <w:pPr>
              <w:spacing w:before="0" w:after="0" w:line="275" w:lineRule="atLeast"/>
            </w:pPr>
            <w:bookmarkStart w:id="212" w:name="co_footnote_B00112083311327_1"/>
            <w:hyperlink w:anchor="co_fnRef_B00112083311327_ID0EJRAI_1">
              <w:r>
                <w:rPr>
                  <w:rFonts w:ascii="Times New Roman" w:hAnsi="Times New Roman"/>
                  <w:color w:val="006fc4"/>
                  <w:sz w:val="20"/>
                  <w:vertAlign w:val="superscript"/>
                </w:rPr>
                <w:t>11</w:t>
              </w:r>
            </w:hyperlink>
            <w:bookmarkEnd w:id="212"/>
          </w:p>
        </w:tc>
        <w:tc>
          <w:tcPr>
            <w:vAlign w:val="top"/>
          </w:tcPr>
          <w:p>
            <w:pPr>
              <w:pBdr>
                <w:bottom w:val="none" w:space="8"/>
              </w:pBdr>
              <w:spacing w:before="0" w:after="0" w:line="275" w:lineRule="atLeast"/>
              <w:jc w:val="both"/>
            </w:pPr>
            <w:r>
              <w:rPr>
                <w:rFonts w:ascii="Times New Roman" w:hAnsi="Times New Roman"/>
                <w:color w:val="000000"/>
                <w:sz w:val="20"/>
              </w:rPr>
              <w:t>Allen Compl. – ECF No. 112-1 at 4 (¶ 12).</w:t>
            </w:r>
          </w:p>
        </w:tc>
      </w:tr>
      <w:tr>
        <w:tblPrEx/>
        <w:trPr/>
        <w:tc>
          <w:tcPr>
            <w:vAlign w:val="top"/>
          </w:tcPr>
          <w:p>
            <w:pPr>
              <w:spacing w:before="0" w:after="0" w:line="275" w:lineRule="atLeast"/>
            </w:pPr>
            <w:bookmarkStart w:id="213" w:name="co_footnote_B00122083311327_1"/>
            <w:hyperlink w:anchor="co_fnRef_B00122083311327_ID0EW6AI_1">
              <w:r>
                <w:rPr>
                  <w:rFonts w:ascii="Times New Roman" w:hAnsi="Times New Roman"/>
                  <w:color w:val="006fc4"/>
                  <w:sz w:val="20"/>
                  <w:vertAlign w:val="superscript"/>
                </w:rPr>
                <w:t>12</w:t>
              </w:r>
            </w:hyperlink>
            <w:bookmarkEnd w:id="213"/>
          </w:p>
        </w:tc>
        <w:tc>
          <w:tcPr>
            <w:vAlign w:val="top"/>
          </w:tcPr>
          <w:p>
            <w:pPr>
              <w:pBdr>
                <w:bottom w:val="none" w:space="8"/>
              </w:pBdr>
              <w:spacing w:before="0" w:after="0" w:line="275" w:lineRule="atLeast"/>
              <w:jc w:val="both"/>
            </w:pPr>
            <w:r>
              <w:rPr>
                <w:rFonts w:ascii="Times New Roman" w:hAnsi="Times New Roman"/>
                <w:color w:val="000000"/>
                <w:sz w:val="20"/>
              </w:rPr>
              <w:t>Policies – ECF No. 100 at 234, 295; ECF No. 101 at 38, 113.</w:t>
            </w:r>
          </w:p>
        </w:tc>
      </w:tr>
      <w:tr>
        <w:tblPrEx/>
        <w:trPr/>
        <w:tc>
          <w:tcPr>
            <w:vAlign w:val="top"/>
          </w:tcPr>
          <w:p>
            <w:pPr>
              <w:spacing w:before="0" w:after="0" w:line="275" w:lineRule="atLeast"/>
            </w:pPr>
            <w:bookmarkStart w:id="214" w:name="co_footnote_B00132083311327_1"/>
            <w:hyperlink w:anchor="co_fnRef_B00132083311327_ID0EKCBI_1">
              <w:r>
                <w:rPr>
                  <w:rFonts w:ascii="Times New Roman" w:hAnsi="Times New Roman"/>
                  <w:color w:val="006fc4"/>
                  <w:sz w:val="20"/>
                  <w:vertAlign w:val="superscript"/>
                </w:rPr>
                <w:t>13</w:t>
              </w:r>
            </w:hyperlink>
            <w:bookmarkEnd w:id="214"/>
          </w:p>
        </w:tc>
        <w:tc>
          <w:tcPr>
            <w:vAlign w:val="top"/>
          </w:tcPr>
          <w:p>
            <w:pPr>
              <w:pBdr>
                <w:bottom w:val="none" w:space="8"/>
              </w:pBdr>
              <w:spacing w:before="0" w:after="0" w:line="275" w:lineRule="atLeast"/>
              <w:jc w:val="both"/>
            </w:pPr>
            <w:r>
              <w:rPr>
                <w:rFonts w:ascii="Times New Roman" w:hAnsi="Times New Roman"/>
                <w:color w:val="000000"/>
                <w:sz w:val="20"/>
              </w:rPr>
              <w:t>Allen Compl. – ECF No. 112-1 at 67–70 (¶¶ 234–253).</w:t>
            </w:r>
          </w:p>
        </w:tc>
      </w:tr>
      <w:tr>
        <w:tblPrEx/>
        <w:trPr/>
        <w:tc>
          <w:tcPr>
            <w:vAlign w:val="top"/>
          </w:tcPr>
          <w:p>
            <w:pPr>
              <w:spacing w:before="0" w:after="0" w:line="275" w:lineRule="atLeast"/>
            </w:pPr>
            <w:bookmarkStart w:id="215" w:name="co_footnote_B00142083311327_1"/>
            <w:hyperlink w:anchor="co_fnRef_B00142083311327_ID0EXCBI_1">
              <w:r>
                <w:rPr>
                  <w:rFonts w:ascii="Times New Roman" w:hAnsi="Times New Roman"/>
                  <w:color w:val="006fc4"/>
                  <w:sz w:val="20"/>
                  <w:vertAlign w:val="superscript"/>
                </w:rPr>
                <w:t>14</w:t>
              </w:r>
            </w:hyperlink>
            <w:bookmarkEnd w:id="215"/>
          </w:p>
        </w:tc>
        <w:tc>
          <w:tcPr>
            <w:vAlign w:val="top"/>
          </w:tcPr>
          <w:p>
            <w:pPr>
              <w:pBdr>
                <w:bottom w:val="none" w:space="8"/>
              </w:pBdr>
              <w:spacing w:before="0" w:after="0" w:line="275" w:lineRule="atLeast"/>
              <w:jc w:val="both"/>
            </w:pPr>
            <w:r>
              <w:rPr>
                <w:rFonts w:ascii="Times New Roman" w:hAnsi="Times New Roman"/>
                <w:i/>
                <w:color w:val="000000"/>
                <w:sz w:val="20"/>
              </w:rPr>
              <w:t>Id.</w:t>
            </w:r>
            <w:r>
              <w:rPr>
                <w:rFonts w:ascii="Times New Roman" w:hAnsi="Times New Roman"/>
                <w:color w:val="000000"/>
                <w:sz w:val="20"/>
              </w:rPr>
              <w:t xml:space="preserve"> at 68–69 (¶¶ 240–248).</w:t>
            </w:r>
          </w:p>
        </w:tc>
      </w:tr>
      <w:tr>
        <w:tblPrEx/>
        <w:trPr/>
        <w:tc>
          <w:tcPr>
            <w:vAlign w:val="top"/>
          </w:tcPr>
          <w:p>
            <w:pPr>
              <w:spacing w:before="0" w:after="0" w:line="275" w:lineRule="atLeast"/>
            </w:pPr>
            <w:bookmarkStart w:id="216" w:name="co_footnote_B00152083311327_1"/>
            <w:hyperlink w:anchor="co_fnRef_B00152083311327_ID0EBDBI_1">
              <w:r>
                <w:rPr>
                  <w:rFonts w:ascii="Times New Roman" w:hAnsi="Times New Roman"/>
                  <w:color w:val="006fc4"/>
                  <w:sz w:val="20"/>
                  <w:vertAlign w:val="superscript"/>
                </w:rPr>
                <w:t>15</w:t>
              </w:r>
            </w:hyperlink>
            <w:bookmarkEnd w:id="216"/>
          </w:p>
        </w:tc>
        <w:tc>
          <w:tcPr>
            <w:vAlign w:val="top"/>
          </w:tcPr>
          <w:p>
            <w:pPr>
              <w:pBdr>
                <w:bottom w:val="none" w:space="8"/>
              </w:pBdr>
              <w:spacing w:before="0" w:after="0" w:line="275" w:lineRule="atLeast"/>
              <w:jc w:val="both"/>
            </w:pPr>
            <w:r>
              <w:rPr>
                <w:rFonts w:ascii="Times New Roman" w:hAnsi="Times New Roman"/>
                <w:color w:val="000000"/>
                <w:sz w:val="20"/>
              </w:rPr>
              <w:t xml:space="preserve">As discussed previously, the duty to defend applies to all claims brought in a single action, even if indemnification is only possible on some claims. </w:t>
            </w:r>
            <w:hyperlink r:id="r145">
              <w:r>
                <w:rPr>
                  <w:rFonts w:ascii="Times New Roman" w:hAnsi="Times New Roman"/>
                  <w:i/>
                  <w:color w:val="006fc4"/>
                  <w:sz w:val="20"/>
                </w:rPr>
                <w:t>Buss</w:t>
              </w:r>
              <w:r>
                <w:rPr>
                  <w:rFonts w:ascii="Times New Roman" w:hAnsi="Times New Roman"/>
                  <w:color w:val="006fc4"/>
                  <w:sz w:val="20"/>
                </w:rPr>
                <w:t>, 16 Cal. 4th at 49, 65 Cal.Rptr.2d 366, 939 P.2d 766</w:t>
              </w:r>
            </w:hyperlink>
            <w:r>
              <w:rPr>
                <w:rFonts w:ascii="Times New Roman" w:hAnsi="Times New Roman"/>
                <w:color w:val="000000"/>
                <w:sz w:val="20"/>
              </w:rPr>
              <w:t xml:space="preserve"> (an insurer “cannot parse the claims, dividing those that are at least potentially covered from those that are not”).</w:t>
            </w:r>
          </w:p>
        </w:tc>
      </w:tr>
      <w:tr>
        <w:tblPrEx/>
        <w:trPr/>
        <w:tc>
          <w:tcPr>
            <w:vAlign w:val="top"/>
          </w:tcPr>
          <w:p>
            <w:pPr>
              <w:spacing w:before="0" w:after="0" w:line="275" w:lineRule="atLeast"/>
            </w:pPr>
            <w:bookmarkStart w:id="217" w:name="co_footnote_B00162083311327_1"/>
            <w:hyperlink w:anchor="co_fnRef_B00162083311327_ID0EBHBI_1">
              <w:r>
                <w:rPr>
                  <w:rFonts w:ascii="Times New Roman" w:hAnsi="Times New Roman"/>
                  <w:color w:val="006fc4"/>
                  <w:sz w:val="20"/>
                  <w:vertAlign w:val="superscript"/>
                </w:rPr>
                <w:t>16</w:t>
              </w:r>
            </w:hyperlink>
            <w:bookmarkEnd w:id="217"/>
          </w:p>
        </w:tc>
        <w:tc>
          <w:tcPr>
            <w:vAlign w:val="top"/>
          </w:tcPr>
          <w:p>
            <w:pPr>
              <w:pBdr>
                <w:bottom w:val="none" w:space="8"/>
              </w:pBdr>
              <w:spacing w:before="0" w:after="0" w:line="275" w:lineRule="atLeast"/>
              <w:jc w:val="both"/>
            </w:pPr>
            <w:r>
              <w:rPr>
                <w:rFonts w:ascii="Times New Roman" w:hAnsi="Times New Roman"/>
                <w:color w:val="000000"/>
                <w:sz w:val="20"/>
              </w:rPr>
              <w:t>Allen Compl. – ECF No. 112-1 at 5–16 (¶¶ 14–33).</w:t>
            </w:r>
          </w:p>
        </w:tc>
      </w:tr>
      <w:tr>
        <w:tblPrEx/>
        <w:trPr/>
        <w:tc>
          <w:tcPr>
            <w:vAlign w:val="top"/>
          </w:tcPr>
          <w:p>
            <w:pPr>
              <w:spacing w:before="0" w:after="0" w:line="275" w:lineRule="atLeast"/>
            </w:pPr>
            <w:bookmarkStart w:id="218" w:name="co_footnote_B00172083311327_1"/>
            <w:hyperlink w:anchor="co_fnRef_B00172083311327_ID0E4IBI_1">
              <w:r>
                <w:rPr>
                  <w:rFonts w:ascii="Times New Roman" w:hAnsi="Times New Roman"/>
                  <w:color w:val="006fc4"/>
                  <w:sz w:val="20"/>
                  <w:vertAlign w:val="superscript"/>
                </w:rPr>
                <w:t>17</w:t>
              </w:r>
            </w:hyperlink>
            <w:bookmarkEnd w:id="218"/>
          </w:p>
        </w:tc>
        <w:tc>
          <w:tcPr>
            <w:vAlign w:val="top"/>
          </w:tcPr>
          <w:p>
            <w:pPr>
              <w:pBdr>
                <w:bottom w:val="none" w:space="8"/>
              </w:pBdr>
              <w:spacing w:before="0" w:after="0" w:line="275" w:lineRule="atLeast"/>
              <w:jc w:val="both"/>
            </w:pPr>
            <w:r>
              <w:rPr>
                <w:rFonts w:ascii="Times New Roman" w:hAnsi="Times New Roman"/>
                <w:color w:val="000000"/>
                <w:sz w:val="20"/>
              </w:rPr>
              <w:t>Newburgh Compl. – ECF No. 112-2 at 3 (¶ 2).</w:t>
            </w:r>
          </w:p>
        </w:tc>
      </w:tr>
      <w:tr>
        <w:tblPrEx/>
        <w:trPr/>
        <w:tc>
          <w:tcPr>
            <w:vAlign w:val="top"/>
          </w:tcPr>
          <w:p>
            <w:pPr>
              <w:spacing w:before="0" w:after="0" w:line="275" w:lineRule="atLeast"/>
            </w:pPr>
            <w:bookmarkStart w:id="219" w:name="co_footnote_B00182083311327_1"/>
            <w:hyperlink w:anchor="co_fnRef_B00182083311327_ID0EHJBI_1">
              <w:r>
                <w:rPr>
                  <w:rFonts w:ascii="Times New Roman" w:hAnsi="Times New Roman"/>
                  <w:color w:val="006fc4"/>
                  <w:sz w:val="20"/>
                  <w:vertAlign w:val="superscript"/>
                </w:rPr>
                <w:t>18</w:t>
              </w:r>
            </w:hyperlink>
            <w:bookmarkEnd w:id="219"/>
          </w:p>
        </w:tc>
        <w:tc>
          <w:tcPr>
            <w:vAlign w:val="top"/>
          </w:tcPr>
          <w:p>
            <w:pPr>
              <w:pBdr>
                <w:bottom w:val="none" w:space="8"/>
              </w:pBdr>
              <w:spacing w:before="0" w:after="0" w:line="275" w:lineRule="atLeast"/>
              <w:jc w:val="both"/>
            </w:pPr>
            <w:r>
              <w:rPr>
                <w:rFonts w:ascii="Times New Roman" w:hAnsi="Times New Roman"/>
                <w:color w:val="000000"/>
                <w:sz w:val="20"/>
              </w:rPr>
              <w:t>Bates Compl. – ECF No. 112-3 at 3 (¶ 1).</w:t>
            </w:r>
          </w:p>
        </w:tc>
      </w:tr>
      <w:tr>
        <w:tblPrEx/>
        <w:trPr/>
        <w:tc>
          <w:tcPr>
            <w:vAlign w:val="top"/>
          </w:tcPr>
          <w:p>
            <w:pPr>
              <w:spacing w:before="0" w:after="0" w:line="275" w:lineRule="atLeast"/>
            </w:pPr>
            <w:bookmarkStart w:id="220" w:name="co_footnote_B00192083311327_1"/>
            <w:hyperlink w:anchor="co_fnRef_B00192083311327_ID0EHNBI_1">
              <w:r>
                <w:rPr>
                  <w:rFonts w:ascii="Times New Roman" w:hAnsi="Times New Roman"/>
                  <w:color w:val="006fc4"/>
                  <w:sz w:val="20"/>
                  <w:vertAlign w:val="superscript"/>
                </w:rPr>
                <w:t>19</w:t>
              </w:r>
            </w:hyperlink>
            <w:bookmarkEnd w:id="220"/>
          </w:p>
        </w:tc>
        <w:tc>
          <w:tcPr>
            <w:vAlign w:val="top"/>
          </w:tcPr>
          <w:p>
            <w:pPr>
              <w:pBdr>
                <w:bottom w:val="none" w:space="8"/>
              </w:pBdr>
              <w:spacing w:before="0" w:after="0" w:line="275" w:lineRule="atLeast"/>
              <w:jc w:val="both"/>
            </w:pPr>
            <w:r>
              <w:rPr>
                <w:rFonts w:ascii="Times New Roman" w:hAnsi="Times New Roman"/>
                <w:color w:val="000000"/>
                <w:sz w:val="20"/>
              </w:rPr>
              <w:t>Pl.’s Reply – ECF No. 116 at 32.</w:t>
            </w:r>
          </w:p>
        </w:tc>
      </w:tr>
      <w:tr>
        <w:tblPrEx/>
        <w:trPr/>
        <w:tc>
          <w:tcPr>
            <w:vAlign w:val="top"/>
          </w:tcPr>
          <w:p>
            <w:pPr>
              <w:spacing w:before="0" w:after="0" w:line="275" w:lineRule="atLeast"/>
            </w:pPr>
            <w:bookmarkStart w:id="221" w:name="co_footnote_B00202083311327_1"/>
            <w:hyperlink w:anchor="co_fnRef_B00202083311327_ID0ERTBI_1">
              <w:r>
                <w:rPr>
                  <w:rFonts w:ascii="Times New Roman" w:hAnsi="Times New Roman"/>
                  <w:color w:val="006fc4"/>
                  <w:sz w:val="20"/>
                  <w:vertAlign w:val="superscript"/>
                </w:rPr>
                <w:t>20</w:t>
              </w:r>
            </w:hyperlink>
            <w:bookmarkEnd w:id="221"/>
          </w:p>
        </w:tc>
        <w:tc>
          <w:tcPr>
            <w:vAlign w:val="top"/>
          </w:tcPr>
          <w:p>
            <w:pPr>
              <w:pBdr>
                <w:bottom w:val="none" w:space="8"/>
              </w:pBdr>
              <w:spacing w:before="0" w:after="0" w:line="275" w:lineRule="atLeast"/>
              <w:jc w:val="both"/>
            </w:pPr>
            <w:r>
              <w:rPr>
                <w:rFonts w:ascii="Times New Roman" w:hAnsi="Times New Roman"/>
                <w:color w:val="000000"/>
                <w:sz w:val="20"/>
              </w:rPr>
              <w:t>Opp'n – ECF No. 115 at 11.</w:t>
            </w:r>
          </w:p>
        </w:tc>
      </w:tr>
      <w:tr>
        <w:tblPrEx/>
        <w:trPr/>
        <w:tc>
          <w:tcPr>
            <w:vAlign w:val="top"/>
          </w:tcPr>
          <w:p>
            <w:pPr>
              <w:spacing w:before="0" w:after="0" w:line="275" w:lineRule="atLeast"/>
            </w:pPr>
            <w:bookmarkStart w:id="222" w:name="co_footnote_B00212083311327_1"/>
            <w:hyperlink w:anchor="co_fnRef_B00212083311327_ID0EKUBI_1">
              <w:r>
                <w:rPr>
                  <w:rFonts w:ascii="Times New Roman" w:hAnsi="Times New Roman"/>
                  <w:color w:val="006fc4"/>
                  <w:sz w:val="20"/>
                  <w:vertAlign w:val="superscript"/>
                </w:rPr>
                <w:t>21</w:t>
              </w:r>
            </w:hyperlink>
            <w:bookmarkEnd w:id="222"/>
          </w:p>
        </w:tc>
        <w:tc>
          <w:tcPr>
            <w:vAlign w:val="top"/>
          </w:tcPr>
          <w:p>
            <w:pPr>
              <w:pBdr>
                <w:bottom w:val="none" w:space="8"/>
              </w:pBdr>
              <w:spacing w:before="0" w:after="0" w:line="275" w:lineRule="atLeast"/>
              <w:jc w:val="both"/>
            </w:pPr>
            <w:r>
              <w:rPr>
                <w:rFonts w:ascii="Times New Roman" w:hAnsi="Times New Roman"/>
                <w:color w:val="000000"/>
                <w:sz w:val="20"/>
              </w:rPr>
              <w:t>PFAS Information for Clinicians, 2024 – ECF No. 116-2 at 15.</w:t>
            </w:r>
          </w:p>
        </w:tc>
      </w:tr>
      <w:tr>
        <w:tblPrEx/>
        <w:trPr/>
        <w:tc>
          <w:tcPr>
            <w:vAlign w:val="top"/>
          </w:tcPr>
          <w:p>
            <w:pPr>
              <w:spacing w:before="0" w:after="0" w:line="275" w:lineRule="atLeast"/>
            </w:pPr>
            <w:bookmarkStart w:id="223" w:name="co_footnote_B00222083311327_1"/>
            <w:hyperlink w:anchor="co_fnRef_B00222083311327_ID0E4VBI_1">
              <w:r>
                <w:rPr>
                  <w:rFonts w:ascii="Times New Roman" w:hAnsi="Times New Roman"/>
                  <w:color w:val="006fc4"/>
                  <w:sz w:val="20"/>
                  <w:vertAlign w:val="superscript"/>
                </w:rPr>
                <w:t>22</w:t>
              </w:r>
            </w:hyperlink>
            <w:bookmarkEnd w:id="223"/>
          </w:p>
        </w:tc>
        <w:tc>
          <w:tcPr>
            <w:vAlign w:val="top"/>
          </w:tcPr>
          <w:p>
            <w:pPr>
              <w:pBdr>
                <w:bottom w:val="none" w:space="8"/>
              </w:pBdr>
              <w:spacing w:before="0" w:after="0" w:line="275" w:lineRule="atLeast"/>
              <w:jc w:val="both"/>
            </w:pPr>
            <w:r>
              <w:rPr>
                <w:rFonts w:ascii="Times New Roman" w:hAnsi="Times New Roman"/>
                <w:color w:val="000000"/>
                <w:sz w:val="20"/>
              </w:rPr>
              <w:t xml:space="preserve">Pl.’s Reply – ECF No. 116 at 28 (quoting </w:t>
            </w:r>
            <w:hyperlink r:id="r146">
              <w:r>
                <w:rPr>
                  <w:rFonts w:ascii="Times New Roman" w:hAnsi="Times New Roman"/>
                  <w:color w:val="006fc4"/>
                  <w:sz w:val="20"/>
                </w:rPr>
                <w:t>31 Cal. 4th at 639, 3 Cal.Rptr.3d 228, 73 P.3d 1205</w:t>
              </w:r>
            </w:hyperlink>
            <w:r>
              <w:rPr>
                <w:rFonts w:ascii="Times New Roman" w:hAnsi="Times New Roman"/>
                <w:color w:val="000000"/>
                <w:sz w:val="20"/>
              </w:rPr>
              <w:t>.)</w:t>
            </w:r>
          </w:p>
        </w:tc>
      </w:tr>
      <w:tr>
        <w:tblPrEx/>
        <w:trPr/>
        <w:tc>
          <w:tcPr>
            <w:vAlign w:val="top"/>
          </w:tcPr>
          <w:p>
            <w:pPr>
              <w:spacing w:before="0" w:after="0" w:line="275" w:lineRule="atLeast"/>
            </w:pPr>
            <w:bookmarkStart w:id="224" w:name="co_footnote_B00232083311327_1"/>
            <w:hyperlink w:anchor="co_fnRef_B00232083311327_ID0EWWBI_1">
              <w:r>
                <w:rPr>
                  <w:rFonts w:ascii="Times New Roman" w:hAnsi="Times New Roman"/>
                  <w:color w:val="006fc4"/>
                  <w:sz w:val="20"/>
                  <w:vertAlign w:val="superscript"/>
                </w:rPr>
                <w:t>23</w:t>
              </w:r>
            </w:hyperlink>
            <w:bookmarkEnd w:id="224"/>
          </w:p>
        </w:tc>
        <w:tc>
          <w:tcPr>
            <w:vAlign w:val="top"/>
          </w:tcPr>
          <w:p>
            <w:pPr>
              <w:pBdr>
                <w:bottom w:val="none" w:space="8"/>
              </w:pBdr>
              <w:spacing w:before="0" w:after="0" w:line="275" w:lineRule="atLeast"/>
              <w:jc w:val="both"/>
            </w:pPr>
            <w:r>
              <w:rPr>
                <w:rFonts w:ascii="Times New Roman" w:hAnsi="Times New Roman"/>
                <w:color w:val="000000"/>
                <w:sz w:val="20"/>
              </w:rPr>
              <w:t>Newburgh Compl. – ECF No. 112-2 at 3 (¶ 2); Bates Compl. – ECF No. 112-3 at 3 (¶ 1).</w:t>
            </w:r>
          </w:p>
        </w:tc>
      </w:tr>
      <w:tr>
        <w:tblPrEx/>
        <w:trPr/>
        <w:tc>
          <w:tcPr>
            <w:vAlign w:val="top"/>
          </w:tcPr>
          <w:p>
            <w:pPr>
              <w:spacing w:before="0" w:after="0" w:line="275" w:lineRule="atLeast"/>
            </w:pPr>
            <w:bookmarkStart w:id="225" w:name="co_footnote_B00242083311327_1"/>
            <w:hyperlink w:anchor="co_fnRef_B00242083311327_ID0E1YBI_1">
              <w:r>
                <w:rPr>
                  <w:rFonts w:ascii="Times New Roman" w:hAnsi="Times New Roman"/>
                  <w:color w:val="006fc4"/>
                  <w:sz w:val="20"/>
                  <w:vertAlign w:val="superscript"/>
                </w:rPr>
                <w:t>24</w:t>
              </w:r>
            </w:hyperlink>
            <w:bookmarkEnd w:id="225"/>
          </w:p>
        </w:tc>
        <w:tc>
          <w:tcPr>
            <w:vAlign w:val="top"/>
          </w:tcPr>
          <w:p>
            <w:pPr>
              <w:pBdr>
                <w:bottom w:val="none" w:space="8"/>
              </w:pBdr>
              <w:spacing w:before="0" w:after="0" w:line="275" w:lineRule="atLeast"/>
              <w:jc w:val="both"/>
            </w:pPr>
            <w:r>
              <w:rPr>
                <w:rFonts w:ascii="Times New Roman" w:hAnsi="Times New Roman"/>
                <w:i/>
                <w:color w:val="000000"/>
                <w:sz w:val="20"/>
              </w:rPr>
              <w:t>Id.</w:t>
            </w:r>
            <w:r>
              <w:rPr>
                <w:rFonts w:ascii="Times New Roman" w:hAnsi="Times New Roman"/>
                <w:color w:val="000000"/>
                <w:sz w:val="20"/>
              </w:rPr>
              <w:t xml:space="preserve"> at 28.</w:t>
            </w:r>
          </w:p>
        </w:tc>
      </w:tr>
      <w:tr>
        <w:tblPrEx/>
        <w:trPr/>
        <w:tc>
          <w:tcPr>
            <w:vAlign w:val="top"/>
          </w:tcPr>
          <w:p>
            <w:pPr>
              <w:spacing w:before="0" w:after="0" w:line="275" w:lineRule="atLeast"/>
            </w:pPr>
            <w:bookmarkStart w:id="226" w:name="co_footnote_B00252083311327_1"/>
            <w:hyperlink w:anchor="co_fnRef_B00252083311327_ID0EM2BI_1">
              <w:r>
                <w:rPr>
                  <w:rFonts w:ascii="Times New Roman" w:hAnsi="Times New Roman"/>
                  <w:color w:val="006fc4"/>
                  <w:sz w:val="20"/>
                  <w:vertAlign w:val="superscript"/>
                </w:rPr>
                <w:t>25</w:t>
              </w:r>
            </w:hyperlink>
            <w:bookmarkEnd w:id="226"/>
          </w:p>
        </w:tc>
        <w:tc>
          <w:tcPr>
            <w:vAlign w:val="top"/>
          </w:tcPr>
          <w:p>
            <w:pPr>
              <w:pBdr>
                <w:bottom w:val="none" w:space="8"/>
              </w:pBdr>
              <w:spacing w:before="0" w:after="0" w:line="275" w:lineRule="atLeast"/>
              <w:jc w:val="both"/>
            </w:pPr>
            <w:r>
              <w:rPr>
                <w:rFonts w:ascii="Times New Roman" w:hAnsi="Times New Roman"/>
                <w:color w:val="000000"/>
                <w:sz w:val="20"/>
              </w:rPr>
              <w:t>Policies – ECF No. 100 at 236, 307; ECF No. 101 at 51, 125.</w:t>
            </w:r>
          </w:p>
        </w:tc>
      </w:tr>
      <w:tr>
        <w:tblPrEx/>
        <w:trPr/>
        <w:tc>
          <w:tcPr>
            <w:vAlign w:val="top"/>
          </w:tcPr>
          <w:p>
            <w:pPr>
              <w:spacing w:before="0" w:after="0" w:line="275" w:lineRule="atLeast"/>
            </w:pPr>
            <w:bookmarkStart w:id="227" w:name="co_footnote_B00262083311327_1"/>
            <w:hyperlink w:anchor="co_fnRef_B00262083311327_ID0E42BI_1">
              <w:r>
                <w:rPr>
                  <w:rFonts w:ascii="Times New Roman" w:hAnsi="Times New Roman"/>
                  <w:color w:val="006fc4"/>
                  <w:sz w:val="20"/>
                  <w:vertAlign w:val="superscript"/>
                </w:rPr>
                <w:t>26</w:t>
              </w:r>
            </w:hyperlink>
            <w:bookmarkEnd w:id="227"/>
          </w:p>
        </w:tc>
        <w:tc>
          <w:tcPr>
            <w:vAlign w:val="top"/>
          </w:tcPr>
          <w:p>
            <w:pPr>
              <w:pBdr>
                <w:bottom w:val="none" w:space="8"/>
              </w:pBdr>
              <w:spacing w:before="0" w:after="0" w:line="275" w:lineRule="atLeast"/>
              <w:jc w:val="both"/>
            </w:pPr>
            <w:r>
              <w:rPr>
                <w:rFonts w:ascii="Times New Roman" w:hAnsi="Times New Roman"/>
                <w:color w:val="000000"/>
                <w:sz w:val="20"/>
              </w:rPr>
              <w:t>Policies – ECF No. 100 at 234, 295; ECF No. 101 at 38, 113.</w:t>
            </w:r>
          </w:p>
        </w:tc>
      </w:tr>
      <w:tr>
        <w:tblPrEx/>
        <w:trPr/>
        <w:tc>
          <w:tcPr>
            <w:vAlign w:val="top"/>
          </w:tcPr>
          <w:p>
            <w:pPr>
              <w:spacing w:before="0" w:after="0" w:line="275" w:lineRule="atLeast"/>
            </w:pPr>
            <w:bookmarkStart w:id="228" w:name="co_footnote_B00272083311327_1"/>
            <w:hyperlink w:anchor="co_fnRef_B00272083311327_ID0EL4BI_1">
              <w:r>
                <w:rPr>
                  <w:rFonts w:ascii="Times New Roman" w:hAnsi="Times New Roman"/>
                  <w:color w:val="006fc4"/>
                  <w:sz w:val="20"/>
                  <w:vertAlign w:val="superscript"/>
                </w:rPr>
                <w:t>27</w:t>
              </w:r>
            </w:hyperlink>
            <w:bookmarkEnd w:id="228"/>
          </w:p>
        </w:tc>
        <w:tc>
          <w:tcPr>
            <w:vAlign w:val="top"/>
          </w:tcPr>
          <w:p>
            <w:pPr>
              <w:pBdr>
                <w:bottom w:val="none" w:space="8"/>
              </w:pBdr>
              <w:spacing w:before="0" w:after="0" w:line="275" w:lineRule="atLeast"/>
              <w:jc w:val="both"/>
            </w:pPr>
            <w:r>
              <w:rPr>
                <w:rFonts w:ascii="Times New Roman" w:hAnsi="Times New Roman"/>
                <w:color w:val="000000"/>
                <w:sz w:val="20"/>
              </w:rPr>
              <w:t xml:space="preserve">Pl.’s Reply – ECF No. 116 at 29 (citing </w:t>
            </w:r>
            <w:hyperlink r:id="r147">
              <w:r>
                <w:rPr>
                  <w:rFonts w:ascii="Times New Roman" w:hAnsi="Times New Roman"/>
                  <w:i/>
                  <w:color w:val="006fc4"/>
                  <w:sz w:val="20"/>
                </w:rPr>
                <w:t>Montrose</w:t>
              </w:r>
              <w:r>
                <w:rPr>
                  <w:rFonts w:ascii="Times New Roman" w:hAnsi="Times New Roman"/>
                  <w:color w:val="006fc4"/>
                  <w:sz w:val="20"/>
                </w:rPr>
                <w:t>, 6 Cal. 4th at 299–300, 24 Cal.Rptr.2d 467, 861 P.2d 1153</w:t>
              </w:r>
            </w:hyperlink>
            <w:r>
              <w:rPr>
                <w:rFonts w:ascii="Times New Roman" w:hAnsi="Times New Roman"/>
                <w:color w:val="000000"/>
                <w:sz w:val="20"/>
              </w:rPr>
              <w:t>.)</w:t>
            </w:r>
          </w:p>
        </w:tc>
      </w:tr>
    </w:tbl>
    <w:p>
      <w:pPr>
        <w:spacing w:before="0" w:after="0" w:line="240" w:lineRule="auto"/>
        <w:rPr>
          <w:sz w:val="24"/>
        </w:rPr>
      </w:pPr>
    </w:p>
    <w:tbl>
      <w:tblPr>
        <w:tblInd w:w="24" w:type="dxa"/>
        <w:tblLayout w:type="fixed"/>
      </w:tblPr>
      <w:tblGrid>
        <w:gridCol w:w="4305"/>
        <w:gridCol w:w="5745"/>
      </w:tblGrid>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2025 Thomson Reuters. No claim to original U.S. Government Works.</w:t>
            </w:r>
          </w:p>
        </w:tc>
      </w:tr>
    </w:tbl>
    <w:sectPr>
      <w:pgSz w:w="12240" w:h="15840"/>
      <w:pgMar w:top="1080" w:bottom="1080" w:left="1080" w:right="1080" w:header="720" w:footer="720" w:gutter="0"/>
      <w:pgNumType w:fmt="decimal"/>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47" name="Picture 0" descr="Westlaw Logo"/>
                <a:graphic>
                  <a:graphicData uri="http://schemas.openxmlformats.org/drawingml/2006/picture">
                    <p:pic>
                      <p:nvPicPr>
                        <p:cNvPr id="48"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2025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National Foam, Inc. v. Zurich American Insurance Company, --- F.Supp.3d ---- (2025)</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rPr>
              <w:rFonts w:ascii="Arial" w:hAnsi="Arial"/>
              <w:color w:val="000000"/>
              <w:sz w:val="18"/>
            </w:rPr>
          </w:pP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